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C264" w14:textId="77777777" w:rsidR="00D7366E" w:rsidRPr="00D7366E" w:rsidRDefault="00D7366E" w:rsidP="00D7366E">
      <w:pPr>
        <w:spacing w:after="0" w:line="240" w:lineRule="auto"/>
        <w:jc w:val="center"/>
        <w:rPr>
          <w:rFonts w:asciiTheme="majorHAnsi" w:hAnsiTheme="majorHAnsi" w:cstheme="majorHAnsi"/>
        </w:rPr>
      </w:pPr>
      <w:r w:rsidRPr="00D7366E">
        <w:rPr>
          <w:rFonts w:asciiTheme="majorHAnsi" w:hAnsiTheme="majorHAnsi" w:cstheme="majorHAnsi"/>
        </w:rPr>
        <w:t>The Criminal Justice Coordinating (CJCC) in partnership with the United States Attorney’s Office of the Northern District of Georgia is pleased to announce that we are seeking applications for funding under the Project Safe Neighborhoods (PSN) Grant Program. This program furthers the State of Georgia’s strategic goal to prevent or reduce crime and violence.</w:t>
      </w:r>
    </w:p>
    <w:p w14:paraId="0D3567FF" w14:textId="77777777" w:rsidR="00D7366E" w:rsidRPr="00D7366E" w:rsidRDefault="00D7366E" w:rsidP="00D7366E">
      <w:pPr>
        <w:spacing w:after="0" w:line="240" w:lineRule="auto"/>
        <w:jc w:val="center"/>
        <w:rPr>
          <w:rFonts w:asciiTheme="majorHAnsi" w:hAnsiTheme="majorHAnsi" w:cstheme="majorHAnsi"/>
        </w:rPr>
      </w:pPr>
    </w:p>
    <w:p w14:paraId="54E36A2B" w14:textId="77777777" w:rsidR="00D7366E" w:rsidRPr="00D7366E" w:rsidRDefault="00D7366E" w:rsidP="00D7366E">
      <w:pPr>
        <w:spacing w:after="0" w:line="240" w:lineRule="auto"/>
        <w:jc w:val="center"/>
        <w:rPr>
          <w:rFonts w:asciiTheme="majorHAnsi" w:hAnsiTheme="majorHAnsi" w:cstheme="majorHAnsi"/>
          <w:sz w:val="24"/>
          <w:szCs w:val="24"/>
        </w:rPr>
      </w:pPr>
    </w:p>
    <w:p w14:paraId="336CC6DE" w14:textId="77777777" w:rsidR="00D7366E" w:rsidRPr="00D7366E" w:rsidRDefault="00D7366E" w:rsidP="00D7366E">
      <w:pPr>
        <w:spacing w:after="0" w:line="240" w:lineRule="auto"/>
        <w:jc w:val="center"/>
        <w:rPr>
          <w:rFonts w:asciiTheme="majorHAnsi" w:hAnsiTheme="majorHAnsi" w:cstheme="majorHAnsi"/>
          <w:b/>
          <w:sz w:val="32"/>
          <w:szCs w:val="32"/>
        </w:rPr>
      </w:pPr>
      <w:r w:rsidRPr="00D7366E">
        <w:rPr>
          <w:rFonts w:asciiTheme="majorHAnsi" w:hAnsiTheme="majorHAnsi" w:cstheme="majorHAnsi"/>
          <w:b/>
          <w:sz w:val="32"/>
          <w:szCs w:val="32"/>
        </w:rPr>
        <w:t>2018 Project Safe Neighborhoods (PSN):</w:t>
      </w:r>
    </w:p>
    <w:p w14:paraId="6F1604EB" w14:textId="77777777" w:rsidR="00D7366E" w:rsidRPr="00D7366E" w:rsidRDefault="00D7366E" w:rsidP="00D7366E">
      <w:pPr>
        <w:spacing w:after="0" w:line="240" w:lineRule="auto"/>
        <w:jc w:val="center"/>
        <w:rPr>
          <w:rFonts w:asciiTheme="majorHAnsi" w:hAnsiTheme="majorHAnsi" w:cstheme="majorHAnsi"/>
          <w:b/>
          <w:sz w:val="32"/>
          <w:szCs w:val="32"/>
        </w:rPr>
      </w:pPr>
      <w:r w:rsidRPr="00D7366E">
        <w:rPr>
          <w:rFonts w:asciiTheme="majorHAnsi" w:hAnsiTheme="majorHAnsi" w:cstheme="majorHAnsi"/>
          <w:b/>
          <w:sz w:val="32"/>
          <w:szCs w:val="32"/>
        </w:rPr>
        <w:t>Violent Gang and Gun Crime Reduction Program</w:t>
      </w:r>
    </w:p>
    <w:p w14:paraId="3AC79625" w14:textId="77777777" w:rsidR="00D7366E" w:rsidRPr="00D7366E" w:rsidRDefault="00D7366E" w:rsidP="00D7366E">
      <w:pPr>
        <w:spacing w:after="0" w:line="240" w:lineRule="auto"/>
        <w:jc w:val="center"/>
        <w:rPr>
          <w:rFonts w:asciiTheme="majorHAnsi" w:hAnsiTheme="majorHAnsi" w:cstheme="majorHAnsi"/>
          <w:b/>
          <w:sz w:val="32"/>
          <w:szCs w:val="32"/>
        </w:rPr>
      </w:pPr>
      <w:r w:rsidRPr="00D7366E">
        <w:rPr>
          <w:rFonts w:asciiTheme="majorHAnsi" w:hAnsiTheme="majorHAnsi" w:cstheme="majorHAnsi"/>
          <w:b/>
          <w:sz w:val="32"/>
          <w:szCs w:val="32"/>
        </w:rPr>
        <w:t>Request for Proposals (RFP)</w:t>
      </w:r>
    </w:p>
    <w:p w14:paraId="15D7DD24" w14:textId="77777777" w:rsidR="00D7366E" w:rsidRPr="00D7366E" w:rsidRDefault="00D7366E" w:rsidP="00D7366E">
      <w:pPr>
        <w:spacing w:after="0" w:line="240" w:lineRule="auto"/>
        <w:jc w:val="center"/>
        <w:rPr>
          <w:rFonts w:asciiTheme="majorHAnsi" w:hAnsiTheme="majorHAnsi" w:cstheme="majorHAnsi"/>
        </w:rPr>
      </w:pPr>
    </w:p>
    <w:p w14:paraId="154B5D70" w14:textId="77777777" w:rsidR="00D7366E" w:rsidRPr="00D7366E" w:rsidRDefault="00D7366E" w:rsidP="00D7366E">
      <w:pPr>
        <w:spacing w:after="0" w:line="240" w:lineRule="auto"/>
        <w:jc w:val="center"/>
        <w:rPr>
          <w:rFonts w:asciiTheme="majorHAnsi" w:hAnsiTheme="majorHAnsi" w:cstheme="majorHAnsi"/>
          <w:b/>
          <w:sz w:val="28"/>
          <w:szCs w:val="28"/>
        </w:rPr>
      </w:pPr>
      <w:r w:rsidRPr="00D7366E">
        <w:rPr>
          <w:rFonts w:asciiTheme="majorHAnsi" w:hAnsiTheme="majorHAnsi" w:cstheme="majorHAnsi"/>
          <w:b/>
          <w:sz w:val="28"/>
          <w:szCs w:val="28"/>
        </w:rPr>
        <w:t>Eligibility</w:t>
      </w:r>
    </w:p>
    <w:p w14:paraId="074C3D60" w14:textId="36D7A3D3" w:rsidR="00D7366E" w:rsidRPr="001D6BA3" w:rsidRDefault="00397795" w:rsidP="00D7366E">
      <w:pPr>
        <w:spacing w:after="0" w:line="240" w:lineRule="auto"/>
        <w:jc w:val="center"/>
        <w:rPr>
          <w:rFonts w:asciiTheme="majorHAnsi" w:hAnsiTheme="majorHAnsi" w:cstheme="majorHAnsi"/>
        </w:rPr>
      </w:pPr>
      <w:r w:rsidRPr="001D6BA3">
        <w:rPr>
          <w:rFonts w:asciiTheme="majorHAnsi" w:hAnsiTheme="majorHAnsi" w:cstheme="majorHAnsi"/>
        </w:rPr>
        <w:t xml:space="preserve">Eligible applicants are non-profit and for-profit organizations, local </w:t>
      </w:r>
      <w:r w:rsidR="00244B77">
        <w:rPr>
          <w:rFonts w:asciiTheme="majorHAnsi" w:hAnsiTheme="majorHAnsi" w:cstheme="majorHAnsi"/>
        </w:rPr>
        <w:t xml:space="preserve">or state </w:t>
      </w:r>
      <w:r w:rsidRPr="001D6BA3">
        <w:rPr>
          <w:rFonts w:asciiTheme="majorHAnsi" w:hAnsiTheme="majorHAnsi" w:cstheme="majorHAnsi"/>
        </w:rPr>
        <w:t xml:space="preserve">governments and </w:t>
      </w:r>
      <w:r w:rsidR="00244B77">
        <w:rPr>
          <w:rFonts w:asciiTheme="majorHAnsi" w:hAnsiTheme="majorHAnsi" w:cstheme="majorHAnsi"/>
        </w:rPr>
        <w:t xml:space="preserve">educational institutions who operate or </w:t>
      </w:r>
      <w:r w:rsidR="0056669A">
        <w:rPr>
          <w:rFonts w:asciiTheme="majorHAnsi" w:hAnsiTheme="majorHAnsi" w:cstheme="majorHAnsi"/>
        </w:rPr>
        <w:t xml:space="preserve">have </w:t>
      </w:r>
      <w:r w:rsidR="00244B77">
        <w:rPr>
          <w:rFonts w:asciiTheme="majorHAnsi" w:hAnsiTheme="majorHAnsi" w:cstheme="majorHAnsi"/>
        </w:rPr>
        <w:t xml:space="preserve">the ability to serve </w:t>
      </w:r>
      <w:r w:rsidR="0056669A">
        <w:rPr>
          <w:rFonts w:asciiTheme="majorHAnsi" w:hAnsiTheme="majorHAnsi" w:cstheme="majorHAnsi"/>
        </w:rPr>
        <w:t>any of the</w:t>
      </w:r>
      <w:r w:rsidR="00244B77">
        <w:rPr>
          <w:rFonts w:asciiTheme="majorHAnsi" w:hAnsiTheme="majorHAnsi" w:cstheme="majorHAnsi"/>
        </w:rPr>
        <w:t xml:space="preserve"> 46 counties in the Northern District. Priority will be given to applicants who have an</w:t>
      </w:r>
      <w:r w:rsidR="0056669A">
        <w:rPr>
          <w:rFonts w:asciiTheme="majorHAnsi" w:hAnsiTheme="majorHAnsi" w:cstheme="majorHAnsi"/>
        </w:rPr>
        <w:t xml:space="preserve"> established </w:t>
      </w:r>
      <w:bookmarkStart w:id="0" w:name="_GoBack"/>
      <w:bookmarkEnd w:id="0"/>
      <w:r w:rsidR="00D7366E" w:rsidRPr="001D6BA3">
        <w:rPr>
          <w:rFonts w:asciiTheme="majorHAnsi" w:hAnsiTheme="majorHAnsi" w:cstheme="majorHAnsi"/>
        </w:rPr>
        <w:t xml:space="preserve">presence in or the ability to serve the following target areas: Crystal Lakes and Wesley Park Neighborhoods (unincorporated Clayton County), English Avenue Neighborhood (City of Atlanta), Blacksville and Sable Chase Neighborhoods in McDonough (Henry County), and the Calumet Community in LaGrange (Troup County). </w:t>
      </w:r>
    </w:p>
    <w:p w14:paraId="12DB3B62" w14:textId="77777777" w:rsidR="00D7366E" w:rsidRPr="001D6BA3" w:rsidRDefault="00D7366E" w:rsidP="00D7366E">
      <w:pPr>
        <w:spacing w:after="0" w:line="240" w:lineRule="auto"/>
        <w:jc w:val="center"/>
        <w:rPr>
          <w:rFonts w:asciiTheme="majorHAnsi" w:hAnsiTheme="majorHAnsi" w:cstheme="majorHAnsi"/>
        </w:rPr>
      </w:pPr>
    </w:p>
    <w:p w14:paraId="7F81D838" w14:textId="773761BA" w:rsidR="00D7366E" w:rsidRPr="006722BA" w:rsidRDefault="00397795" w:rsidP="00D7366E">
      <w:pPr>
        <w:spacing w:after="0" w:line="240" w:lineRule="auto"/>
        <w:jc w:val="center"/>
        <w:rPr>
          <w:rFonts w:asciiTheme="majorHAnsi" w:hAnsiTheme="majorHAnsi" w:cstheme="majorHAnsi"/>
          <w:b/>
        </w:rPr>
      </w:pPr>
      <w:r w:rsidRPr="001D6BA3">
        <w:rPr>
          <w:rFonts w:asciiTheme="majorHAnsi" w:hAnsiTheme="majorHAnsi" w:cstheme="majorHAnsi"/>
          <w:b/>
        </w:rPr>
        <w:t>Note: All subrecipients (including any for-profit organization) must forgo any profit or management fee.</w:t>
      </w:r>
      <w:r w:rsidRPr="006722BA">
        <w:rPr>
          <w:rFonts w:asciiTheme="majorHAnsi" w:hAnsiTheme="majorHAnsi" w:cstheme="majorHAnsi"/>
          <w:b/>
        </w:rPr>
        <w:t xml:space="preserve">  </w:t>
      </w:r>
    </w:p>
    <w:p w14:paraId="5723105B" w14:textId="77777777" w:rsidR="00397795" w:rsidRDefault="00397795" w:rsidP="00D7366E">
      <w:pPr>
        <w:spacing w:after="0" w:line="240" w:lineRule="auto"/>
        <w:jc w:val="center"/>
        <w:rPr>
          <w:rFonts w:asciiTheme="majorHAnsi" w:hAnsiTheme="majorHAnsi"/>
          <w:b/>
        </w:rPr>
      </w:pPr>
    </w:p>
    <w:p w14:paraId="3E552D9D" w14:textId="77777777" w:rsidR="00D7366E" w:rsidRPr="00D7366E" w:rsidRDefault="00D7366E" w:rsidP="00D7366E">
      <w:pPr>
        <w:autoSpaceDE w:val="0"/>
        <w:autoSpaceDN w:val="0"/>
        <w:adjustRightInd w:val="0"/>
        <w:spacing w:after="0" w:line="480" w:lineRule="auto"/>
        <w:jc w:val="center"/>
        <w:rPr>
          <w:rFonts w:asciiTheme="majorHAnsi" w:hAnsiTheme="majorHAnsi" w:cstheme="majorHAnsi"/>
          <w:color w:val="000000"/>
        </w:rPr>
      </w:pPr>
      <w:r w:rsidRPr="00D7366E">
        <w:rPr>
          <w:rFonts w:asciiTheme="majorHAnsi" w:hAnsiTheme="majorHAnsi" w:cstheme="majorHAnsi"/>
          <w:b/>
          <w:bCs/>
          <w:color w:val="000000"/>
        </w:rPr>
        <w:t>Deadline</w:t>
      </w:r>
      <w:r w:rsidRPr="00D7366E">
        <w:rPr>
          <w:rFonts w:asciiTheme="majorHAnsi" w:hAnsiTheme="majorHAnsi" w:cstheme="majorHAnsi"/>
          <w:color w:val="000000"/>
        </w:rPr>
        <w:t xml:space="preserve">: All applications are due at 5:00 p.m. on </w:t>
      </w:r>
      <w:r w:rsidRPr="00D7366E">
        <w:rPr>
          <w:rFonts w:asciiTheme="majorHAnsi" w:hAnsiTheme="majorHAnsi" w:cstheme="majorHAnsi"/>
          <w:i/>
          <w:iCs/>
          <w:color w:val="000000"/>
        </w:rPr>
        <w:t>April 19, 2018</w:t>
      </w:r>
    </w:p>
    <w:p w14:paraId="64C3A69E" w14:textId="2DA7AC4E" w:rsidR="00D7366E" w:rsidRPr="00D7366E" w:rsidRDefault="00D7366E" w:rsidP="00D7366E">
      <w:pPr>
        <w:autoSpaceDE w:val="0"/>
        <w:autoSpaceDN w:val="0"/>
        <w:adjustRightInd w:val="0"/>
        <w:spacing w:after="0" w:line="480" w:lineRule="auto"/>
        <w:jc w:val="center"/>
        <w:rPr>
          <w:rFonts w:asciiTheme="majorHAnsi" w:hAnsiTheme="majorHAnsi" w:cstheme="majorHAnsi"/>
          <w:color w:val="000000"/>
        </w:rPr>
      </w:pPr>
      <w:r w:rsidRPr="00D7366E">
        <w:rPr>
          <w:rFonts w:asciiTheme="majorHAnsi" w:hAnsiTheme="majorHAnsi" w:cstheme="majorHAnsi"/>
          <w:b/>
          <w:bCs/>
          <w:color w:val="000000"/>
        </w:rPr>
        <w:t xml:space="preserve">Available Funding: </w:t>
      </w:r>
      <w:r w:rsidRPr="00D7366E">
        <w:rPr>
          <w:rFonts w:asciiTheme="majorHAnsi" w:hAnsiTheme="majorHAnsi" w:cstheme="majorHAnsi"/>
          <w:color w:val="000000"/>
        </w:rPr>
        <w:t>Approximately $</w:t>
      </w:r>
      <w:r w:rsidR="00253525">
        <w:rPr>
          <w:rFonts w:asciiTheme="majorHAnsi" w:hAnsiTheme="majorHAnsi" w:cstheme="majorHAnsi"/>
          <w:color w:val="000000"/>
        </w:rPr>
        <w:t>255,488</w:t>
      </w:r>
    </w:p>
    <w:p w14:paraId="40DBD949" w14:textId="77777777" w:rsidR="00D7366E" w:rsidRPr="00D7366E" w:rsidRDefault="00D7366E" w:rsidP="00D7366E">
      <w:pPr>
        <w:autoSpaceDE w:val="0"/>
        <w:autoSpaceDN w:val="0"/>
        <w:adjustRightInd w:val="0"/>
        <w:spacing w:after="0" w:line="480" w:lineRule="auto"/>
        <w:jc w:val="center"/>
        <w:rPr>
          <w:rFonts w:asciiTheme="majorHAnsi" w:hAnsiTheme="majorHAnsi" w:cstheme="majorHAnsi"/>
          <w:color w:val="000000"/>
        </w:rPr>
      </w:pPr>
      <w:r w:rsidRPr="00D7366E">
        <w:rPr>
          <w:rFonts w:asciiTheme="majorHAnsi" w:hAnsiTheme="majorHAnsi" w:cstheme="majorHAnsi"/>
          <w:b/>
          <w:bCs/>
          <w:color w:val="000000"/>
        </w:rPr>
        <w:t xml:space="preserve">Award Period*: </w:t>
      </w:r>
      <w:r w:rsidRPr="00D7366E">
        <w:rPr>
          <w:rFonts w:asciiTheme="majorHAnsi" w:hAnsiTheme="majorHAnsi" w:cstheme="majorHAnsi"/>
          <w:color w:val="000000"/>
        </w:rPr>
        <w:t>May 1, 2019 through March 30, 2021</w:t>
      </w:r>
    </w:p>
    <w:p w14:paraId="4D2B8FD9" w14:textId="77777777" w:rsidR="00D7366E" w:rsidRPr="00D7366E" w:rsidRDefault="00D7366E" w:rsidP="00D7366E">
      <w:pPr>
        <w:autoSpaceDE w:val="0"/>
        <w:autoSpaceDN w:val="0"/>
        <w:adjustRightInd w:val="0"/>
        <w:spacing w:after="0" w:line="480" w:lineRule="auto"/>
        <w:jc w:val="center"/>
        <w:rPr>
          <w:rFonts w:asciiTheme="majorHAnsi" w:hAnsiTheme="majorHAnsi" w:cstheme="majorHAnsi"/>
          <w:color w:val="000000"/>
        </w:rPr>
      </w:pPr>
      <w:r w:rsidRPr="00D7366E">
        <w:rPr>
          <w:rFonts w:asciiTheme="majorHAnsi" w:hAnsiTheme="majorHAnsi" w:cstheme="majorHAnsi"/>
          <w:b/>
          <w:bCs/>
          <w:color w:val="000000"/>
        </w:rPr>
        <w:t>Contact Information</w:t>
      </w:r>
    </w:p>
    <w:p w14:paraId="1B3A58DE" w14:textId="77777777" w:rsidR="00D7366E" w:rsidRPr="00D7366E" w:rsidRDefault="00D7366E" w:rsidP="00D7366E">
      <w:pPr>
        <w:autoSpaceDE w:val="0"/>
        <w:autoSpaceDN w:val="0"/>
        <w:adjustRightInd w:val="0"/>
        <w:spacing w:after="0" w:line="480" w:lineRule="auto"/>
        <w:jc w:val="center"/>
        <w:rPr>
          <w:rFonts w:asciiTheme="majorHAnsi" w:hAnsiTheme="majorHAnsi" w:cstheme="majorHAnsi"/>
          <w:color w:val="000000"/>
        </w:rPr>
      </w:pPr>
      <w:r w:rsidRPr="00D7366E">
        <w:rPr>
          <w:rFonts w:asciiTheme="majorHAnsi" w:hAnsiTheme="majorHAnsi" w:cstheme="majorHAnsi"/>
          <w:color w:val="000000"/>
        </w:rPr>
        <w:t>For assistance with the requirements of this solicitation, contact:</w:t>
      </w:r>
    </w:p>
    <w:p w14:paraId="286FF8BE" w14:textId="77777777" w:rsidR="00D7366E" w:rsidRPr="00D7366E" w:rsidRDefault="00D7366E" w:rsidP="00D7366E">
      <w:pPr>
        <w:spacing w:after="0" w:line="240" w:lineRule="auto"/>
        <w:jc w:val="center"/>
        <w:rPr>
          <w:rFonts w:asciiTheme="majorHAnsi" w:hAnsiTheme="majorHAnsi" w:cstheme="majorHAnsi"/>
        </w:rPr>
      </w:pPr>
      <w:r w:rsidRPr="00D7366E">
        <w:rPr>
          <w:rFonts w:asciiTheme="majorHAnsi" w:hAnsiTheme="majorHAnsi" w:cstheme="majorHAnsi"/>
        </w:rPr>
        <w:t>Mia Smith, Planning and Policy Development Specialist, at 404-654-5693 or</w:t>
      </w:r>
    </w:p>
    <w:p w14:paraId="6AA65E6C" w14:textId="77777777" w:rsidR="00D7366E" w:rsidRPr="00D7366E" w:rsidRDefault="00D7366E" w:rsidP="00D7366E">
      <w:pPr>
        <w:spacing w:after="0" w:line="240" w:lineRule="auto"/>
        <w:jc w:val="center"/>
        <w:rPr>
          <w:rFonts w:asciiTheme="majorHAnsi" w:hAnsiTheme="majorHAnsi" w:cstheme="majorHAnsi"/>
        </w:rPr>
      </w:pPr>
      <w:r w:rsidRPr="00D7366E">
        <w:rPr>
          <w:rFonts w:asciiTheme="majorHAnsi" w:hAnsiTheme="majorHAnsi" w:cstheme="majorHAnsi"/>
          <w:color w:val="0000FF"/>
        </w:rPr>
        <w:t>Mia.smith@cjcc.ga.gov</w:t>
      </w:r>
    </w:p>
    <w:p w14:paraId="0B81476E" w14:textId="77777777" w:rsidR="00D7366E" w:rsidRPr="00D7366E" w:rsidRDefault="00D7366E" w:rsidP="00D7366E">
      <w:pPr>
        <w:spacing w:after="0" w:line="240" w:lineRule="auto"/>
        <w:jc w:val="center"/>
        <w:rPr>
          <w:rFonts w:asciiTheme="majorHAnsi" w:hAnsiTheme="majorHAnsi" w:cstheme="majorHAnsi"/>
        </w:rPr>
      </w:pPr>
    </w:p>
    <w:p w14:paraId="799DF38A" w14:textId="77777777" w:rsidR="00D7366E" w:rsidRPr="00D7366E" w:rsidRDefault="00D7366E" w:rsidP="00D7366E">
      <w:pPr>
        <w:spacing w:after="0" w:line="240" w:lineRule="auto"/>
        <w:jc w:val="center"/>
        <w:rPr>
          <w:rFonts w:asciiTheme="majorHAnsi" w:hAnsiTheme="majorHAnsi" w:cstheme="majorHAnsi"/>
        </w:rPr>
      </w:pPr>
      <w:r w:rsidRPr="00D7366E">
        <w:rPr>
          <w:rFonts w:asciiTheme="majorHAnsi" w:hAnsiTheme="majorHAnsi" w:cstheme="majorHAnsi"/>
        </w:rPr>
        <w:t>Ursula Kelley, Criminal Justice Supervisor, at 404-657-1968 or</w:t>
      </w:r>
    </w:p>
    <w:p w14:paraId="3B94F842" w14:textId="77777777" w:rsidR="00D7366E" w:rsidRPr="00D7366E" w:rsidRDefault="00D7366E" w:rsidP="00D7366E">
      <w:pPr>
        <w:spacing w:after="0" w:line="240" w:lineRule="auto"/>
        <w:jc w:val="center"/>
        <w:rPr>
          <w:rFonts w:asciiTheme="majorHAnsi" w:hAnsiTheme="majorHAnsi" w:cstheme="majorHAnsi"/>
        </w:rPr>
      </w:pPr>
      <w:r w:rsidRPr="00D7366E">
        <w:rPr>
          <w:rFonts w:asciiTheme="majorHAnsi" w:hAnsiTheme="majorHAnsi" w:cstheme="majorHAnsi"/>
          <w:color w:val="0000FF"/>
        </w:rPr>
        <w:t>ursula.kelley@cjcc.ga.gov</w:t>
      </w:r>
    </w:p>
    <w:p w14:paraId="5D04D105" w14:textId="77777777" w:rsidR="00130E98" w:rsidRDefault="00130E98" w:rsidP="00130E98">
      <w:pPr>
        <w:pBdr>
          <w:bottom w:val="single" w:sz="6" w:space="1" w:color="auto"/>
        </w:pBdr>
        <w:spacing w:line="240" w:lineRule="auto"/>
        <w:jc w:val="center"/>
        <w:rPr>
          <w:rFonts w:asciiTheme="majorHAnsi" w:hAnsiTheme="majorHAnsi" w:cstheme="majorHAnsi"/>
          <w:b/>
          <w:bCs/>
          <w:sz w:val="28"/>
          <w:szCs w:val="28"/>
        </w:rPr>
      </w:pPr>
    </w:p>
    <w:p w14:paraId="1CD38CE0" w14:textId="77777777" w:rsidR="002A3046" w:rsidRDefault="002A3046" w:rsidP="00130E98">
      <w:pPr>
        <w:pBdr>
          <w:bottom w:val="single" w:sz="6" w:space="1" w:color="auto"/>
        </w:pBdr>
        <w:spacing w:line="240" w:lineRule="auto"/>
        <w:jc w:val="center"/>
        <w:rPr>
          <w:rFonts w:asciiTheme="majorHAnsi" w:hAnsiTheme="majorHAnsi" w:cstheme="majorHAnsi"/>
          <w:b/>
          <w:bCs/>
          <w:sz w:val="28"/>
          <w:szCs w:val="28"/>
        </w:rPr>
      </w:pPr>
    </w:p>
    <w:p w14:paraId="7AD041F7" w14:textId="77777777" w:rsidR="00D7366E" w:rsidRDefault="00D7366E" w:rsidP="00130E98">
      <w:pPr>
        <w:pBdr>
          <w:bottom w:val="single" w:sz="6" w:space="1" w:color="auto"/>
        </w:pBdr>
        <w:spacing w:line="240" w:lineRule="auto"/>
        <w:jc w:val="center"/>
        <w:rPr>
          <w:rFonts w:asciiTheme="majorHAnsi" w:hAnsiTheme="majorHAnsi" w:cstheme="majorHAnsi"/>
          <w:b/>
          <w:bCs/>
          <w:sz w:val="28"/>
          <w:szCs w:val="28"/>
        </w:rPr>
      </w:pPr>
      <w:r w:rsidRPr="00D7366E">
        <w:rPr>
          <w:rFonts w:asciiTheme="majorHAnsi" w:hAnsiTheme="majorHAnsi" w:cstheme="majorHAnsi"/>
          <w:b/>
          <w:bCs/>
          <w:sz w:val="28"/>
          <w:szCs w:val="28"/>
        </w:rPr>
        <w:t>Release Date: March 20, 2019</w:t>
      </w:r>
    </w:p>
    <w:p w14:paraId="227FA3B5" w14:textId="77777777" w:rsidR="00130E98" w:rsidRPr="00D7366E" w:rsidRDefault="00130E98" w:rsidP="00130E98">
      <w:pPr>
        <w:pBdr>
          <w:bottom w:val="single" w:sz="6" w:space="1" w:color="auto"/>
        </w:pBdr>
        <w:spacing w:line="240" w:lineRule="auto"/>
        <w:jc w:val="center"/>
        <w:rPr>
          <w:rFonts w:asciiTheme="majorHAnsi" w:hAnsiTheme="majorHAnsi" w:cstheme="majorHAnsi"/>
          <w:b/>
          <w:bCs/>
          <w:sz w:val="28"/>
          <w:szCs w:val="28"/>
        </w:rPr>
      </w:pPr>
    </w:p>
    <w:p w14:paraId="15B81DB7" w14:textId="77777777" w:rsidR="00D7366E" w:rsidRPr="00D7366E" w:rsidRDefault="00D7366E" w:rsidP="00D7366E">
      <w:pPr>
        <w:spacing w:after="0" w:line="240" w:lineRule="auto"/>
        <w:rPr>
          <w:rFonts w:asciiTheme="majorHAnsi" w:hAnsiTheme="majorHAnsi" w:cstheme="majorHAnsi"/>
        </w:rPr>
      </w:pPr>
      <w:r w:rsidRPr="00D7366E">
        <w:rPr>
          <w:rFonts w:asciiTheme="majorHAnsi" w:hAnsiTheme="majorHAnsi" w:cstheme="majorHAnsi"/>
        </w:rPr>
        <w:t xml:space="preserve">*The award period is dependent upon when federal funding becomes available (if awarded) and, therefore, it may change. </w:t>
      </w:r>
    </w:p>
    <w:p w14:paraId="5358A97B" w14:textId="77777777" w:rsidR="00D7366E" w:rsidRPr="00D7366E" w:rsidRDefault="00D7366E" w:rsidP="00D7366E">
      <w:r w:rsidRPr="00D7366E">
        <w:br w:type="page"/>
      </w:r>
    </w:p>
    <w:p w14:paraId="0B6AAFC6" w14:textId="77777777" w:rsidR="00D7366E" w:rsidRPr="00D7366E" w:rsidRDefault="00D7366E" w:rsidP="00D7366E">
      <w:pPr>
        <w:widowControl w:val="0"/>
        <w:autoSpaceDE w:val="0"/>
        <w:autoSpaceDN w:val="0"/>
        <w:spacing w:after="0" w:line="229" w:lineRule="exact"/>
        <w:ind w:left="1382" w:right="1382"/>
        <w:jc w:val="center"/>
        <w:outlineLvl w:val="0"/>
        <w:rPr>
          <w:rFonts w:asciiTheme="majorHAnsi" w:eastAsia="Times New Roman" w:hAnsiTheme="majorHAnsi" w:cstheme="majorHAnsi"/>
          <w:b/>
          <w:bCs/>
          <w:sz w:val="24"/>
        </w:rPr>
      </w:pPr>
      <w:r w:rsidRPr="00D7366E">
        <w:rPr>
          <w:rFonts w:asciiTheme="majorHAnsi" w:eastAsia="Times New Roman" w:hAnsiTheme="majorHAnsi" w:cstheme="majorHAnsi"/>
          <w:b/>
          <w:bCs/>
          <w:sz w:val="24"/>
        </w:rPr>
        <w:lastRenderedPageBreak/>
        <w:t>2018 Project Safe Neighborhoods</w:t>
      </w:r>
    </w:p>
    <w:p w14:paraId="16E5FB79" w14:textId="77777777" w:rsidR="00D7366E" w:rsidRPr="00D7366E" w:rsidRDefault="00D7366E" w:rsidP="00D7366E">
      <w:pPr>
        <w:spacing w:after="0"/>
        <w:ind w:left="1382" w:right="1388"/>
        <w:jc w:val="center"/>
        <w:rPr>
          <w:rFonts w:asciiTheme="majorHAnsi" w:hAnsiTheme="majorHAnsi" w:cstheme="majorHAnsi"/>
          <w:b/>
          <w:sz w:val="24"/>
        </w:rPr>
      </w:pPr>
      <w:r w:rsidRPr="00D7366E">
        <w:rPr>
          <w:rFonts w:asciiTheme="majorHAnsi" w:hAnsiTheme="majorHAnsi" w:cstheme="majorHAnsi"/>
          <w:b/>
          <w:sz w:val="24"/>
        </w:rPr>
        <w:t xml:space="preserve">Criminal Justice Coordinating Council and the U.S. Attorney’s Office of North Georgia Request for Proposals (RFP) </w:t>
      </w:r>
    </w:p>
    <w:p w14:paraId="0FED21CF" w14:textId="77777777" w:rsidR="00D7366E" w:rsidRPr="00D7366E" w:rsidRDefault="00D7366E" w:rsidP="00D7366E">
      <w:pPr>
        <w:spacing w:after="0"/>
        <w:ind w:left="1382" w:right="1388"/>
        <w:jc w:val="center"/>
        <w:rPr>
          <w:rFonts w:asciiTheme="majorHAnsi" w:hAnsiTheme="majorHAnsi" w:cstheme="majorHAnsi"/>
          <w:b/>
          <w:sz w:val="24"/>
        </w:rPr>
      </w:pPr>
      <w:r>
        <w:rPr>
          <w:rFonts w:asciiTheme="majorHAnsi" w:hAnsiTheme="majorHAnsi" w:cstheme="majorHAnsi"/>
          <w:b/>
          <w:sz w:val="24"/>
        </w:rPr>
        <w:t>Prevention/Reentry Agencies</w:t>
      </w:r>
    </w:p>
    <w:p w14:paraId="1736B54E" w14:textId="77777777" w:rsidR="00D7366E" w:rsidRPr="00D7366E" w:rsidRDefault="00D7366E" w:rsidP="00D7366E">
      <w:pPr>
        <w:widowControl w:val="0"/>
        <w:autoSpaceDE w:val="0"/>
        <w:autoSpaceDN w:val="0"/>
        <w:spacing w:before="6" w:after="0" w:line="240" w:lineRule="auto"/>
        <w:rPr>
          <w:rFonts w:asciiTheme="majorHAnsi" w:eastAsia="Times New Roman" w:hAnsiTheme="majorHAnsi" w:cstheme="majorHAnsi"/>
          <w:b/>
          <w:sz w:val="24"/>
        </w:rPr>
      </w:pPr>
    </w:p>
    <w:p w14:paraId="28D6202B"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r w:rsidRPr="00D7366E">
        <w:rPr>
          <w:rFonts w:asciiTheme="majorHAnsi" w:eastAsia="Times New Roman" w:hAnsiTheme="majorHAnsi" w:cstheme="majorHAnsi"/>
          <w:sz w:val="24"/>
        </w:rPr>
        <w:t xml:space="preserve">Project Safe Neighborhoods (PSN) is designed to create safer neighborhoods through a sustained reduction in crime associated with gang and gun violence. The program’s effectiveness is based on the cooperation of local, state, and federal agencies engaged in a unified approach led by the U.S. Attorney (USA) in each district. The USA is responsible for establishing a collaborative PSN taskforce of federal, state, and local law enforcement and other community members to implement gun and gang crime enforcement, intervention, prevention, and reentry initiatives within the district.  The program must be: </w:t>
      </w:r>
    </w:p>
    <w:p w14:paraId="399CD941"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p>
    <w:p w14:paraId="51475EF7"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r w:rsidRPr="00D7366E">
        <w:rPr>
          <w:rFonts w:asciiTheme="majorHAnsi" w:eastAsia="Times New Roman" w:hAnsiTheme="majorHAnsi" w:cstheme="majorHAnsi"/>
          <w:b/>
          <w:sz w:val="24"/>
        </w:rPr>
        <w:t>Comprehensive</w:t>
      </w:r>
      <w:r w:rsidRPr="00D7366E">
        <w:rPr>
          <w:rFonts w:asciiTheme="majorHAnsi" w:eastAsia="Times New Roman" w:hAnsiTheme="majorHAnsi" w:cstheme="majorHAnsi"/>
          <w:sz w:val="24"/>
        </w:rPr>
        <w:t xml:space="preserve">—The most successful initiatives combine enforcement with prevention and deterrence efforts. </w:t>
      </w:r>
    </w:p>
    <w:p w14:paraId="3A130718"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p>
    <w:p w14:paraId="0703E3A3"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r w:rsidRPr="00D7366E">
        <w:rPr>
          <w:rFonts w:asciiTheme="majorHAnsi" w:eastAsia="Times New Roman" w:hAnsiTheme="majorHAnsi" w:cstheme="majorHAnsi"/>
          <w:b/>
          <w:sz w:val="24"/>
        </w:rPr>
        <w:t>Coordinated</w:t>
      </w:r>
      <w:r w:rsidRPr="00D7366E">
        <w:rPr>
          <w:rFonts w:asciiTheme="majorHAnsi" w:eastAsia="Times New Roman" w:hAnsiTheme="majorHAnsi" w:cstheme="majorHAnsi"/>
          <w:sz w:val="24"/>
        </w:rPr>
        <w:t xml:space="preserve">—Programs that ensure coordination between enforcement, deterrence and prevention efforts are more likely to succeed than those that do not. </w:t>
      </w:r>
    </w:p>
    <w:p w14:paraId="3B40955E"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p>
    <w:p w14:paraId="37AF16FC"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r w:rsidRPr="00D7366E">
        <w:rPr>
          <w:rFonts w:asciiTheme="majorHAnsi" w:eastAsia="Times New Roman" w:hAnsiTheme="majorHAnsi" w:cstheme="majorHAnsi"/>
          <w:b/>
          <w:sz w:val="24"/>
        </w:rPr>
        <w:t>Community-based</w:t>
      </w:r>
      <w:r w:rsidRPr="00D7366E">
        <w:rPr>
          <w:rFonts w:asciiTheme="majorHAnsi" w:eastAsia="Times New Roman" w:hAnsiTheme="majorHAnsi" w:cstheme="majorHAnsi"/>
          <w:sz w:val="24"/>
        </w:rPr>
        <w:t xml:space="preserve">—The composition of gang and gun-related crime varies at the local level, and the resources available to address it vary from district to district. Accordingly, any national crime reduction program must remain sufficiently flexible for jurisdictions to implement it in a way that both responds to the specific problem in that area, and accounts for the particular local capacities and resources that can be dedicated. PSN represents the national commitment to reduce gun and gang-related crime in America by coordinating with existing local programs which target these crimes, and by providing those programs with the additional tools necessary for them to be successful. </w:t>
      </w:r>
    </w:p>
    <w:p w14:paraId="5311813C"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p>
    <w:p w14:paraId="6197C3C5" w14:textId="77777777" w:rsidR="00D7366E" w:rsidRPr="00D7366E" w:rsidRDefault="00D7366E" w:rsidP="00D7366E">
      <w:pPr>
        <w:widowControl w:val="0"/>
        <w:autoSpaceDE w:val="0"/>
        <w:autoSpaceDN w:val="0"/>
        <w:spacing w:after="0" w:line="240" w:lineRule="auto"/>
        <w:ind w:left="810" w:right="169" w:hanging="360"/>
        <w:rPr>
          <w:rFonts w:asciiTheme="majorHAnsi" w:eastAsia="Times New Roman" w:hAnsiTheme="majorHAnsi" w:cstheme="majorHAnsi"/>
          <w:sz w:val="24"/>
        </w:rPr>
      </w:pPr>
      <w:r w:rsidRPr="00D7366E">
        <w:rPr>
          <w:rFonts w:asciiTheme="majorHAnsi" w:eastAsia="Times New Roman" w:hAnsiTheme="majorHAnsi" w:cstheme="majorHAnsi"/>
          <w:sz w:val="24"/>
        </w:rPr>
        <w:t>•</w:t>
      </w:r>
      <w:r w:rsidRPr="00D7366E">
        <w:rPr>
          <w:rFonts w:asciiTheme="majorHAnsi" w:eastAsia="Times New Roman" w:hAnsiTheme="majorHAnsi" w:cstheme="majorHAnsi"/>
          <w:sz w:val="24"/>
        </w:rPr>
        <w:tab/>
        <w:t xml:space="preserve">The partnership element requires workable and sustainable partnerships with federal, state, and local law enforcement and prosecutors. </w:t>
      </w:r>
    </w:p>
    <w:p w14:paraId="163E48C4" w14:textId="77777777" w:rsidR="00D7366E" w:rsidRPr="00D7366E" w:rsidRDefault="00D7366E" w:rsidP="00D7366E">
      <w:pPr>
        <w:widowControl w:val="0"/>
        <w:autoSpaceDE w:val="0"/>
        <w:autoSpaceDN w:val="0"/>
        <w:spacing w:after="0" w:line="240" w:lineRule="auto"/>
        <w:ind w:left="810" w:right="169" w:hanging="360"/>
        <w:rPr>
          <w:rFonts w:asciiTheme="majorHAnsi" w:eastAsia="Times New Roman" w:hAnsiTheme="majorHAnsi" w:cstheme="majorHAnsi"/>
          <w:sz w:val="24"/>
        </w:rPr>
      </w:pPr>
      <w:r w:rsidRPr="00D7366E">
        <w:rPr>
          <w:rFonts w:asciiTheme="majorHAnsi" w:eastAsia="Times New Roman" w:hAnsiTheme="majorHAnsi" w:cstheme="majorHAnsi"/>
          <w:sz w:val="24"/>
        </w:rPr>
        <w:t>•</w:t>
      </w:r>
      <w:r w:rsidRPr="00D7366E">
        <w:rPr>
          <w:rFonts w:asciiTheme="majorHAnsi" w:eastAsia="Times New Roman" w:hAnsiTheme="majorHAnsi" w:cstheme="majorHAnsi"/>
          <w:sz w:val="24"/>
        </w:rPr>
        <w:tab/>
        <w:t xml:space="preserve">Community strategic problem-solving involves the use of data and research to isolate the key factors driving violent crime at the local level. </w:t>
      </w:r>
    </w:p>
    <w:p w14:paraId="6E7A45C4" w14:textId="77777777" w:rsidR="00D7366E" w:rsidRPr="00D7366E" w:rsidRDefault="00D7366E" w:rsidP="00D7366E">
      <w:pPr>
        <w:widowControl w:val="0"/>
        <w:autoSpaceDE w:val="0"/>
        <w:autoSpaceDN w:val="0"/>
        <w:spacing w:after="0" w:line="240" w:lineRule="auto"/>
        <w:ind w:left="810" w:right="169" w:hanging="360"/>
        <w:rPr>
          <w:rFonts w:asciiTheme="majorHAnsi" w:eastAsia="Times New Roman" w:hAnsiTheme="majorHAnsi" w:cstheme="majorHAnsi"/>
          <w:sz w:val="24"/>
        </w:rPr>
      </w:pPr>
      <w:r w:rsidRPr="00D7366E">
        <w:rPr>
          <w:rFonts w:asciiTheme="majorHAnsi" w:eastAsia="Times New Roman" w:hAnsiTheme="majorHAnsi" w:cstheme="majorHAnsi"/>
          <w:sz w:val="24"/>
        </w:rPr>
        <w:t>•</w:t>
      </w:r>
      <w:r w:rsidRPr="00D7366E">
        <w:rPr>
          <w:rFonts w:asciiTheme="majorHAnsi" w:eastAsia="Times New Roman" w:hAnsiTheme="majorHAnsi" w:cstheme="majorHAnsi"/>
          <w:sz w:val="24"/>
        </w:rPr>
        <w:tab/>
        <w:t xml:space="preserve">The outreach component incorporates communication strategies geared at residents, youth offenders, and other community members. </w:t>
      </w:r>
    </w:p>
    <w:p w14:paraId="63D363BE" w14:textId="77777777" w:rsidR="00D7366E" w:rsidRPr="00D7366E" w:rsidRDefault="00D7366E" w:rsidP="00D7366E">
      <w:pPr>
        <w:widowControl w:val="0"/>
        <w:autoSpaceDE w:val="0"/>
        <w:autoSpaceDN w:val="0"/>
        <w:spacing w:after="0" w:line="240" w:lineRule="auto"/>
        <w:ind w:left="810" w:right="169" w:hanging="360"/>
        <w:rPr>
          <w:rFonts w:asciiTheme="majorHAnsi" w:eastAsia="Times New Roman" w:hAnsiTheme="majorHAnsi" w:cstheme="majorHAnsi"/>
          <w:sz w:val="24"/>
        </w:rPr>
      </w:pPr>
      <w:r w:rsidRPr="00D7366E">
        <w:rPr>
          <w:rFonts w:asciiTheme="majorHAnsi" w:eastAsia="Times New Roman" w:hAnsiTheme="majorHAnsi" w:cstheme="majorHAnsi"/>
          <w:sz w:val="24"/>
        </w:rPr>
        <w:t>•</w:t>
      </w:r>
      <w:r w:rsidRPr="00D7366E">
        <w:rPr>
          <w:rFonts w:asciiTheme="majorHAnsi" w:eastAsia="Times New Roman" w:hAnsiTheme="majorHAnsi" w:cstheme="majorHAnsi"/>
          <w:sz w:val="24"/>
        </w:rPr>
        <w:tab/>
        <w:t xml:space="preserve">The accountability element ensures that the PSN task force regularly receives feedback about the impact of its interventions to make necessary program adjustments. </w:t>
      </w:r>
    </w:p>
    <w:p w14:paraId="3FA64D76" w14:textId="77777777" w:rsidR="00D7366E" w:rsidRPr="00D7366E" w:rsidRDefault="00D7366E" w:rsidP="00D7366E">
      <w:pPr>
        <w:widowControl w:val="0"/>
        <w:autoSpaceDE w:val="0"/>
        <w:autoSpaceDN w:val="0"/>
        <w:spacing w:after="0" w:line="240" w:lineRule="auto"/>
        <w:ind w:left="1080" w:right="169" w:hanging="360"/>
        <w:rPr>
          <w:rFonts w:asciiTheme="majorHAnsi" w:eastAsia="Times New Roman" w:hAnsiTheme="majorHAnsi" w:cstheme="majorHAnsi"/>
          <w:sz w:val="24"/>
        </w:rPr>
      </w:pPr>
    </w:p>
    <w:p w14:paraId="69F66EBF"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r w:rsidRPr="00D7366E">
        <w:rPr>
          <w:rFonts w:asciiTheme="majorHAnsi" w:eastAsia="Times New Roman" w:hAnsiTheme="majorHAnsi" w:cstheme="majorHAnsi"/>
          <w:sz w:val="24"/>
        </w:rPr>
        <w:t xml:space="preserve">For more specific guidance with the development and implementation of your proposed project as it relates to the Project Safe Neighborhoods (PSN) grant program, the link to the national PSN site can be accessed </w:t>
      </w:r>
      <w:hyperlink r:id="rId7" w:history="1">
        <w:r w:rsidRPr="00D7366E">
          <w:rPr>
            <w:rFonts w:ascii="Times New Roman" w:eastAsia="Times New Roman" w:hAnsi="Times New Roman" w:cs="Times New Roman"/>
            <w:color w:val="0563C1" w:themeColor="hyperlink"/>
            <w:u w:val="single"/>
          </w:rPr>
          <w:t>here</w:t>
        </w:r>
      </w:hyperlink>
      <w:r w:rsidRPr="00D7366E">
        <w:rPr>
          <w:rFonts w:asciiTheme="majorHAnsi" w:eastAsia="Times New Roman" w:hAnsiTheme="majorHAnsi" w:cstheme="majorHAnsi"/>
          <w:sz w:val="24"/>
        </w:rPr>
        <w:t>.</w:t>
      </w:r>
    </w:p>
    <w:p w14:paraId="2E038F26" w14:textId="77777777" w:rsidR="00D7366E" w:rsidRPr="00D7366E" w:rsidRDefault="00D7366E" w:rsidP="00D7366E">
      <w:pPr>
        <w:widowControl w:val="0"/>
        <w:autoSpaceDE w:val="0"/>
        <w:autoSpaceDN w:val="0"/>
        <w:spacing w:after="0" w:line="240" w:lineRule="auto"/>
        <w:ind w:left="120" w:right="169"/>
        <w:rPr>
          <w:rFonts w:asciiTheme="majorHAnsi" w:eastAsia="Times New Roman" w:hAnsiTheme="majorHAnsi" w:cstheme="majorHAnsi"/>
          <w:sz w:val="24"/>
        </w:rPr>
      </w:pPr>
    </w:p>
    <w:p w14:paraId="59975EA6" w14:textId="77777777" w:rsidR="00D7366E" w:rsidRDefault="00D7366E" w:rsidP="00D7366E">
      <w:pPr>
        <w:ind w:left="120" w:right="169"/>
        <w:rPr>
          <w:rFonts w:asciiTheme="majorHAnsi" w:hAnsiTheme="majorHAnsi" w:cstheme="majorHAnsi"/>
          <w:sz w:val="24"/>
        </w:rPr>
      </w:pPr>
    </w:p>
    <w:p w14:paraId="1F16E8D6" w14:textId="77777777" w:rsidR="00D7366E" w:rsidRPr="00D7366E" w:rsidRDefault="00D7366E" w:rsidP="00D7366E">
      <w:pPr>
        <w:ind w:left="120" w:right="169"/>
        <w:rPr>
          <w:rFonts w:asciiTheme="majorHAnsi" w:hAnsiTheme="majorHAnsi" w:cstheme="majorHAnsi"/>
          <w:sz w:val="24"/>
        </w:rPr>
      </w:pPr>
      <w:r w:rsidRPr="00D7366E">
        <w:rPr>
          <w:rFonts w:asciiTheme="majorHAnsi" w:hAnsiTheme="majorHAnsi" w:cstheme="majorHAnsi"/>
          <w:sz w:val="24"/>
        </w:rPr>
        <w:lastRenderedPageBreak/>
        <w:t xml:space="preserve">The USA for the Northern District of Georgia is implementing a targeted and prioritized strategy, based upon data that addresses gun and gang crime in six Target Enforcement Areas (TEAs) for place-based enforcement.  The TEAs are:  </w:t>
      </w:r>
    </w:p>
    <w:p w14:paraId="4CEF2E1C" w14:textId="77777777" w:rsidR="00D7366E" w:rsidRPr="00D7366E" w:rsidRDefault="00D7366E" w:rsidP="00D7366E">
      <w:pPr>
        <w:ind w:left="810" w:right="169" w:hanging="360"/>
        <w:rPr>
          <w:rFonts w:asciiTheme="majorHAnsi" w:hAnsiTheme="majorHAnsi" w:cstheme="majorHAnsi"/>
          <w:sz w:val="24"/>
        </w:rPr>
      </w:pPr>
      <w:r w:rsidRPr="00D7366E">
        <w:rPr>
          <w:rFonts w:asciiTheme="majorHAnsi" w:hAnsiTheme="majorHAnsi" w:cstheme="majorHAnsi"/>
          <w:sz w:val="24"/>
        </w:rPr>
        <w:t>•</w:t>
      </w:r>
      <w:r w:rsidRPr="00D7366E">
        <w:rPr>
          <w:rFonts w:asciiTheme="majorHAnsi" w:hAnsiTheme="majorHAnsi" w:cstheme="majorHAnsi"/>
          <w:sz w:val="24"/>
        </w:rPr>
        <w:tab/>
        <w:t>Calumet Community in LaGrange (Troup County)</w:t>
      </w:r>
    </w:p>
    <w:p w14:paraId="0EC8D63F" w14:textId="77777777" w:rsidR="00D7366E" w:rsidRPr="00D7366E" w:rsidRDefault="00D7366E" w:rsidP="00D7366E">
      <w:pPr>
        <w:ind w:left="810" w:right="169" w:hanging="360"/>
        <w:rPr>
          <w:rFonts w:asciiTheme="majorHAnsi" w:hAnsiTheme="majorHAnsi" w:cstheme="majorHAnsi"/>
          <w:sz w:val="24"/>
        </w:rPr>
      </w:pPr>
      <w:r w:rsidRPr="00D7366E">
        <w:rPr>
          <w:rFonts w:asciiTheme="majorHAnsi" w:hAnsiTheme="majorHAnsi" w:cstheme="majorHAnsi"/>
          <w:sz w:val="24"/>
        </w:rPr>
        <w:t>•</w:t>
      </w:r>
      <w:r w:rsidRPr="00D7366E">
        <w:rPr>
          <w:rFonts w:asciiTheme="majorHAnsi" w:hAnsiTheme="majorHAnsi" w:cstheme="majorHAnsi"/>
          <w:sz w:val="24"/>
        </w:rPr>
        <w:tab/>
        <w:t>Blacksville and Sable Chase Neighborhoods in McDonough (Henry County)</w:t>
      </w:r>
    </w:p>
    <w:p w14:paraId="49CFDBD8" w14:textId="77777777" w:rsidR="00D7366E" w:rsidRPr="00D7366E" w:rsidRDefault="00D7366E" w:rsidP="00D7366E">
      <w:pPr>
        <w:ind w:left="810" w:right="169" w:hanging="360"/>
        <w:rPr>
          <w:rFonts w:asciiTheme="majorHAnsi" w:hAnsiTheme="majorHAnsi" w:cstheme="majorHAnsi"/>
          <w:sz w:val="24"/>
        </w:rPr>
      </w:pPr>
      <w:r w:rsidRPr="00D7366E">
        <w:rPr>
          <w:rFonts w:asciiTheme="majorHAnsi" w:hAnsiTheme="majorHAnsi" w:cstheme="majorHAnsi"/>
          <w:sz w:val="24"/>
        </w:rPr>
        <w:t>•</w:t>
      </w:r>
      <w:r w:rsidRPr="00D7366E">
        <w:rPr>
          <w:rFonts w:asciiTheme="majorHAnsi" w:hAnsiTheme="majorHAnsi" w:cstheme="majorHAnsi"/>
          <w:sz w:val="24"/>
        </w:rPr>
        <w:tab/>
        <w:t>Crystal Lake and Wesley Park Neighborhoods (unincorporated Clayton County)</w:t>
      </w:r>
    </w:p>
    <w:p w14:paraId="4631C6B5" w14:textId="77777777" w:rsidR="00D7366E" w:rsidRPr="00D7366E" w:rsidRDefault="00D7366E" w:rsidP="00D7366E">
      <w:pPr>
        <w:ind w:left="810" w:right="169" w:hanging="360"/>
        <w:rPr>
          <w:rFonts w:asciiTheme="majorHAnsi" w:hAnsiTheme="majorHAnsi" w:cstheme="majorHAnsi"/>
          <w:sz w:val="24"/>
        </w:rPr>
      </w:pPr>
      <w:r w:rsidRPr="00D7366E">
        <w:rPr>
          <w:rFonts w:asciiTheme="majorHAnsi" w:hAnsiTheme="majorHAnsi" w:cstheme="majorHAnsi"/>
          <w:sz w:val="24"/>
        </w:rPr>
        <w:t>•</w:t>
      </w:r>
      <w:r w:rsidRPr="00D7366E">
        <w:rPr>
          <w:rFonts w:asciiTheme="majorHAnsi" w:hAnsiTheme="majorHAnsi" w:cstheme="majorHAnsi"/>
          <w:sz w:val="24"/>
        </w:rPr>
        <w:tab/>
        <w:t xml:space="preserve">English Avenue Neighborhood (City of Atlanta).  </w:t>
      </w:r>
    </w:p>
    <w:p w14:paraId="7EA0F467" w14:textId="77777777" w:rsidR="00D7366E" w:rsidRDefault="00D7366E" w:rsidP="00D7366E">
      <w:pPr>
        <w:ind w:left="120" w:right="169"/>
        <w:rPr>
          <w:rFonts w:asciiTheme="majorHAnsi" w:hAnsiTheme="majorHAnsi" w:cstheme="majorHAnsi"/>
          <w:sz w:val="24"/>
        </w:rPr>
      </w:pPr>
      <w:r w:rsidRPr="00D7366E">
        <w:rPr>
          <w:rFonts w:asciiTheme="majorHAnsi" w:hAnsiTheme="majorHAnsi" w:cstheme="majorHAnsi"/>
          <w:sz w:val="24"/>
        </w:rPr>
        <w:t xml:space="preserve">The strategy also incorporates a people-based enforcement plan that targets violent repeat offenders who are committing violent crimes in all of the 46 counties in the Northern District.   The USA’s strategy is attached, and all proposals must follow and support the strategy.  </w:t>
      </w:r>
    </w:p>
    <w:p w14:paraId="7FCD0DC6" w14:textId="77777777" w:rsidR="00D7366E" w:rsidRPr="00D7366E" w:rsidRDefault="00D7366E" w:rsidP="00D7366E">
      <w:pPr>
        <w:ind w:left="120" w:right="169"/>
        <w:rPr>
          <w:rFonts w:asciiTheme="majorHAnsi" w:hAnsiTheme="majorHAnsi" w:cstheme="majorHAnsi"/>
          <w:sz w:val="24"/>
        </w:rPr>
      </w:pPr>
      <w:r w:rsidRPr="00D7366E">
        <w:rPr>
          <w:rFonts w:asciiTheme="majorHAnsi" w:hAnsiTheme="majorHAnsi" w:cstheme="majorHAnsi"/>
          <w:sz w:val="24"/>
        </w:rPr>
        <w:t xml:space="preserve">As a potential recipient of a 2019 PSN award, </w:t>
      </w:r>
      <w:r w:rsidRPr="00D7366E">
        <w:rPr>
          <w:rFonts w:asciiTheme="majorHAnsi" w:hAnsiTheme="majorHAnsi" w:cstheme="majorHAnsi"/>
          <w:b/>
          <w:i/>
          <w:sz w:val="24"/>
        </w:rPr>
        <w:t>your organization must have an established community presence in or ability to serve these areas to be eligible for an award</w:t>
      </w:r>
      <w:r w:rsidRPr="00D7366E">
        <w:rPr>
          <w:rFonts w:asciiTheme="majorHAnsi" w:hAnsiTheme="majorHAnsi" w:cstheme="majorHAnsi"/>
          <w:sz w:val="24"/>
        </w:rPr>
        <w:t>.  Note:  The Prevention and Reentry component of the Project Safe Neighborhoods (PSN) Strategy relies heavily upon the Credible Messenger Initiative. Credible Messengers are neighborhood leaders, experienced prevention and reentry specialists, and individuals with relevant life experiences (often including their own involvement with the criminal justice system) who serve in a variety of capacities to coach, guide, mentor, facilitate and advocate for the youth and adults who have been detained or incarcerated for gun-related and gang-related crime.</w:t>
      </w:r>
    </w:p>
    <w:p w14:paraId="78965698" w14:textId="77777777" w:rsidR="00D7366E" w:rsidRPr="00D7366E" w:rsidRDefault="00D7366E" w:rsidP="00D7366E">
      <w:pPr>
        <w:ind w:left="120" w:right="169"/>
        <w:rPr>
          <w:rFonts w:asciiTheme="majorHAnsi" w:hAnsiTheme="majorHAnsi" w:cstheme="majorHAnsi"/>
          <w:sz w:val="24"/>
        </w:rPr>
      </w:pPr>
      <w:r w:rsidRPr="00D7366E">
        <w:rPr>
          <w:rFonts w:asciiTheme="majorHAnsi" w:hAnsiTheme="majorHAnsi" w:cstheme="majorHAnsi"/>
          <w:noProof/>
          <w:sz w:val="24"/>
        </w:rPr>
        <mc:AlternateContent>
          <mc:Choice Requires="wps">
            <w:drawing>
              <wp:anchor distT="0" distB="0" distL="114300" distR="114300" simplePos="0" relativeHeight="251659264" behindDoc="0" locked="0" layoutInCell="1" allowOverlap="1" wp14:anchorId="24EC0547" wp14:editId="0D93468B">
                <wp:simplePos x="0" y="0"/>
                <wp:positionH relativeFrom="margin">
                  <wp:align>right</wp:align>
                </wp:positionH>
                <wp:positionV relativeFrom="paragraph">
                  <wp:posOffset>13335</wp:posOffset>
                </wp:positionV>
                <wp:extent cx="597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721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3873B9C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5pt" to="88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" strokecolor="windowText" strokeweight=".5pt">
                <v:stroke joinstyle="miter"/>
                <w10:wrap anchorx="margin"/>
              </v:line>
            </w:pict>
          </mc:Fallback>
        </mc:AlternateContent>
      </w:r>
    </w:p>
    <w:p w14:paraId="3A84F430" w14:textId="0A18DC83" w:rsidR="00D7366E" w:rsidRPr="00D7366E" w:rsidRDefault="00D7366E" w:rsidP="00D7366E">
      <w:pPr>
        <w:ind w:left="120" w:right="169"/>
        <w:rPr>
          <w:rFonts w:asciiTheme="majorHAnsi" w:hAnsiTheme="majorHAnsi" w:cstheme="majorHAnsi"/>
          <w:sz w:val="24"/>
        </w:rPr>
      </w:pPr>
      <w:r w:rsidRPr="00D7366E">
        <w:rPr>
          <w:rFonts w:asciiTheme="majorHAnsi" w:hAnsiTheme="majorHAnsi" w:cstheme="majorHAnsi"/>
          <w:sz w:val="24"/>
        </w:rPr>
        <w:t>To submit an application for consideration, please write a 3-5 page statement that includes the following information:</w:t>
      </w:r>
    </w:p>
    <w:p w14:paraId="1998AFBB" w14:textId="77777777" w:rsidR="00D7366E" w:rsidRDefault="00D7366E" w:rsidP="00D7366E">
      <w:pPr>
        <w:pStyle w:val="ListParagraph"/>
        <w:widowControl w:val="0"/>
        <w:numPr>
          <w:ilvl w:val="0"/>
          <w:numId w:val="2"/>
        </w:numPr>
        <w:tabs>
          <w:tab w:val="left" w:pos="841"/>
        </w:tabs>
        <w:autoSpaceDE w:val="0"/>
        <w:autoSpaceDN w:val="0"/>
        <w:spacing w:after="0" w:line="240" w:lineRule="auto"/>
        <w:ind w:right="511" w:hanging="360"/>
        <w:contextualSpacing w:val="0"/>
        <w:jc w:val="both"/>
        <w:rPr>
          <w:rFonts w:asciiTheme="majorHAnsi" w:hAnsiTheme="majorHAnsi"/>
          <w:sz w:val="24"/>
          <w:szCs w:val="24"/>
        </w:rPr>
      </w:pPr>
      <w:r w:rsidRPr="00D7366E">
        <w:rPr>
          <w:rFonts w:asciiTheme="majorHAnsi" w:hAnsiTheme="majorHAnsi"/>
          <w:b/>
          <w:sz w:val="24"/>
          <w:szCs w:val="24"/>
        </w:rPr>
        <w:t xml:space="preserve">The target population of your services. </w:t>
      </w:r>
      <w:r w:rsidRPr="00D7366E">
        <w:rPr>
          <w:rFonts w:asciiTheme="majorHAnsi" w:hAnsiTheme="majorHAnsi"/>
          <w:sz w:val="24"/>
          <w:szCs w:val="24"/>
        </w:rPr>
        <w:t>Please go beyond simple demographics. Describe this population in detail (including age groups). For example, if you describe your organization as serving individuals “at-risk,” detail how these individuals are assessed for “risk” and what that might</w:t>
      </w:r>
      <w:r w:rsidRPr="00D7366E">
        <w:rPr>
          <w:rFonts w:asciiTheme="majorHAnsi" w:hAnsiTheme="majorHAnsi"/>
          <w:spacing w:val="-25"/>
          <w:sz w:val="24"/>
          <w:szCs w:val="24"/>
        </w:rPr>
        <w:t xml:space="preserve"> </w:t>
      </w:r>
      <w:r w:rsidRPr="00D7366E">
        <w:rPr>
          <w:rFonts w:asciiTheme="majorHAnsi" w:hAnsiTheme="majorHAnsi"/>
          <w:sz w:val="24"/>
          <w:szCs w:val="24"/>
        </w:rPr>
        <w:t>entail.</w:t>
      </w:r>
    </w:p>
    <w:p w14:paraId="119A47B1" w14:textId="77777777" w:rsidR="00D7366E" w:rsidRPr="00D7366E" w:rsidRDefault="00D7366E" w:rsidP="00D7366E">
      <w:pPr>
        <w:pStyle w:val="ListParagraph"/>
        <w:widowControl w:val="0"/>
        <w:tabs>
          <w:tab w:val="left" w:pos="841"/>
        </w:tabs>
        <w:autoSpaceDE w:val="0"/>
        <w:autoSpaceDN w:val="0"/>
        <w:spacing w:after="0" w:line="240" w:lineRule="auto"/>
        <w:ind w:left="840" w:right="511"/>
        <w:contextualSpacing w:val="0"/>
        <w:jc w:val="both"/>
        <w:rPr>
          <w:rFonts w:asciiTheme="majorHAnsi" w:hAnsiTheme="majorHAnsi"/>
          <w:sz w:val="18"/>
          <w:szCs w:val="24"/>
        </w:rPr>
      </w:pPr>
    </w:p>
    <w:p w14:paraId="66BD11F6" w14:textId="50FC1C48" w:rsidR="00D7366E" w:rsidRDefault="00D7366E" w:rsidP="00D7366E">
      <w:pPr>
        <w:pStyle w:val="ListParagraph"/>
        <w:widowControl w:val="0"/>
        <w:numPr>
          <w:ilvl w:val="0"/>
          <w:numId w:val="2"/>
        </w:numPr>
        <w:tabs>
          <w:tab w:val="left" w:pos="841"/>
        </w:tabs>
        <w:autoSpaceDE w:val="0"/>
        <w:autoSpaceDN w:val="0"/>
        <w:spacing w:after="0" w:line="240" w:lineRule="auto"/>
        <w:ind w:right="256" w:hanging="360"/>
        <w:contextualSpacing w:val="0"/>
        <w:rPr>
          <w:rFonts w:asciiTheme="majorHAnsi" w:hAnsiTheme="majorHAnsi"/>
          <w:sz w:val="24"/>
          <w:szCs w:val="24"/>
        </w:rPr>
      </w:pPr>
      <w:r w:rsidRPr="00D7366E">
        <w:rPr>
          <w:rFonts w:asciiTheme="majorHAnsi" w:hAnsiTheme="majorHAnsi"/>
          <w:b/>
          <w:sz w:val="24"/>
          <w:szCs w:val="24"/>
        </w:rPr>
        <w:t xml:space="preserve">The services offered by your organization within the neighborhoods </w:t>
      </w:r>
      <w:r w:rsidR="005A1ACA">
        <w:rPr>
          <w:rFonts w:asciiTheme="majorHAnsi" w:hAnsiTheme="majorHAnsi"/>
          <w:b/>
          <w:sz w:val="24"/>
          <w:szCs w:val="24"/>
        </w:rPr>
        <w:t xml:space="preserve">or counties </w:t>
      </w:r>
      <w:r w:rsidRPr="00D7366E">
        <w:rPr>
          <w:rFonts w:asciiTheme="majorHAnsi" w:hAnsiTheme="majorHAnsi"/>
          <w:b/>
          <w:sz w:val="24"/>
          <w:szCs w:val="24"/>
        </w:rPr>
        <w:t xml:space="preserve">listed above. </w:t>
      </w:r>
      <w:r w:rsidRPr="00D7366E">
        <w:rPr>
          <w:rFonts w:asciiTheme="majorHAnsi" w:hAnsiTheme="majorHAnsi"/>
          <w:sz w:val="24"/>
          <w:szCs w:val="24"/>
        </w:rPr>
        <w:t>Please be specific in what services your organization provides. What type of services and for whom? If you have current programs within these areas, please describe the capacity of those programs. How many individuals is your organization currently servicing? How many can they</w:t>
      </w:r>
      <w:r w:rsidRPr="00D7366E">
        <w:rPr>
          <w:rFonts w:asciiTheme="majorHAnsi" w:hAnsiTheme="majorHAnsi"/>
          <w:spacing w:val="-14"/>
          <w:sz w:val="24"/>
          <w:szCs w:val="24"/>
        </w:rPr>
        <w:t xml:space="preserve"> </w:t>
      </w:r>
      <w:r w:rsidRPr="00D7366E">
        <w:rPr>
          <w:rFonts w:asciiTheme="majorHAnsi" w:hAnsiTheme="majorHAnsi"/>
          <w:sz w:val="24"/>
          <w:szCs w:val="24"/>
        </w:rPr>
        <w:t xml:space="preserve">service?  Also describe your organization, i.e., non-profit, neighborhood association, community board, etc.  </w:t>
      </w:r>
    </w:p>
    <w:p w14:paraId="7E670133" w14:textId="77777777" w:rsidR="00D7366E" w:rsidRPr="00D7366E" w:rsidRDefault="00D7366E" w:rsidP="00D7366E">
      <w:pPr>
        <w:pStyle w:val="ListParagraph"/>
        <w:rPr>
          <w:rFonts w:asciiTheme="majorHAnsi" w:hAnsiTheme="majorHAnsi"/>
          <w:sz w:val="18"/>
          <w:szCs w:val="24"/>
        </w:rPr>
      </w:pPr>
    </w:p>
    <w:p w14:paraId="50A604E0" w14:textId="77777777" w:rsidR="00D7366E" w:rsidRDefault="00D7366E" w:rsidP="00D7366E">
      <w:pPr>
        <w:pStyle w:val="ListParagraph"/>
        <w:widowControl w:val="0"/>
        <w:numPr>
          <w:ilvl w:val="0"/>
          <w:numId w:val="2"/>
        </w:numPr>
        <w:tabs>
          <w:tab w:val="left" w:pos="841"/>
        </w:tabs>
        <w:autoSpaceDE w:val="0"/>
        <w:autoSpaceDN w:val="0"/>
        <w:spacing w:after="0" w:line="240" w:lineRule="auto"/>
        <w:ind w:right="101" w:hanging="360"/>
        <w:contextualSpacing w:val="0"/>
        <w:rPr>
          <w:rFonts w:asciiTheme="majorHAnsi" w:hAnsiTheme="majorHAnsi"/>
          <w:sz w:val="24"/>
          <w:szCs w:val="24"/>
        </w:rPr>
      </w:pPr>
      <w:r w:rsidRPr="00D7366E">
        <w:rPr>
          <w:rFonts w:asciiTheme="majorHAnsi" w:hAnsiTheme="majorHAnsi"/>
          <w:b/>
          <w:sz w:val="24"/>
          <w:szCs w:val="24"/>
        </w:rPr>
        <w:t xml:space="preserve">How do you measure programmatic success? </w:t>
      </w:r>
      <w:r w:rsidRPr="00D7366E">
        <w:rPr>
          <w:rFonts w:asciiTheme="majorHAnsi" w:hAnsiTheme="majorHAnsi"/>
          <w:sz w:val="24"/>
          <w:szCs w:val="24"/>
        </w:rPr>
        <w:t>Please be very specific in your metrics. PSN is a robust program with very stringent programmatic and fiscal reporting requirements. As such, be articulate in how your organization continuously evaluates its</w:t>
      </w:r>
      <w:r w:rsidRPr="00D7366E">
        <w:rPr>
          <w:rFonts w:asciiTheme="majorHAnsi" w:hAnsiTheme="majorHAnsi"/>
          <w:spacing w:val="-14"/>
          <w:sz w:val="24"/>
          <w:szCs w:val="24"/>
        </w:rPr>
        <w:t xml:space="preserve"> </w:t>
      </w:r>
      <w:r w:rsidRPr="00D7366E">
        <w:rPr>
          <w:rFonts w:asciiTheme="majorHAnsi" w:hAnsiTheme="majorHAnsi"/>
          <w:sz w:val="24"/>
          <w:szCs w:val="24"/>
        </w:rPr>
        <w:t>effectiveness.</w:t>
      </w:r>
    </w:p>
    <w:p w14:paraId="0C15EF41" w14:textId="77777777" w:rsidR="00D7366E" w:rsidRPr="00130E98" w:rsidRDefault="00D7366E" w:rsidP="00130E98">
      <w:pPr>
        <w:widowControl w:val="0"/>
        <w:tabs>
          <w:tab w:val="left" w:pos="841"/>
        </w:tabs>
        <w:autoSpaceDE w:val="0"/>
        <w:autoSpaceDN w:val="0"/>
        <w:spacing w:after="0" w:line="240" w:lineRule="auto"/>
        <w:ind w:right="101"/>
        <w:rPr>
          <w:rFonts w:asciiTheme="majorHAnsi" w:hAnsiTheme="majorHAnsi"/>
          <w:sz w:val="24"/>
          <w:szCs w:val="24"/>
        </w:rPr>
      </w:pPr>
    </w:p>
    <w:p w14:paraId="408836FA" w14:textId="77777777" w:rsidR="00D7366E" w:rsidRDefault="00D7366E" w:rsidP="00D7366E">
      <w:pPr>
        <w:pStyle w:val="ListParagraph"/>
        <w:widowControl w:val="0"/>
        <w:numPr>
          <w:ilvl w:val="0"/>
          <w:numId w:val="2"/>
        </w:numPr>
        <w:tabs>
          <w:tab w:val="left" w:pos="841"/>
        </w:tabs>
        <w:autoSpaceDE w:val="0"/>
        <w:autoSpaceDN w:val="0"/>
        <w:spacing w:after="0" w:line="240" w:lineRule="auto"/>
        <w:ind w:right="148" w:hanging="360"/>
        <w:contextualSpacing w:val="0"/>
        <w:rPr>
          <w:rFonts w:asciiTheme="majorHAnsi" w:hAnsiTheme="majorHAnsi"/>
          <w:sz w:val="24"/>
          <w:szCs w:val="24"/>
        </w:rPr>
      </w:pPr>
      <w:r w:rsidRPr="00D7366E">
        <w:rPr>
          <w:rFonts w:asciiTheme="majorHAnsi" w:hAnsiTheme="majorHAnsi"/>
          <w:b/>
          <w:sz w:val="24"/>
          <w:szCs w:val="24"/>
        </w:rPr>
        <w:lastRenderedPageBreak/>
        <w:t>Describe your community ties</w:t>
      </w:r>
      <w:r w:rsidRPr="00D7366E">
        <w:rPr>
          <w:rFonts w:asciiTheme="majorHAnsi" w:hAnsiTheme="majorHAnsi"/>
          <w:sz w:val="24"/>
          <w:szCs w:val="24"/>
        </w:rPr>
        <w:t>. Current social science research demonstrates that an organization’s community relationships and partnerships have a decisive bearing upon programmatic success. As such, please describe your organization’s relationship with one or more of the neighborhoods targeted by the USA’s</w:t>
      </w:r>
      <w:r w:rsidRPr="00D7366E">
        <w:rPr>
          <w:rFonts w:asciiTheme="majorHAnsi" w:hAnsiTheme="majorHAnsi"/>
          <w:spacing w:val="-26"/>
          <w:sz w:val="24"/>
          <w:szCs w:val="24"/>
        </w:rPr>
        <w:t xml:space="preserve"> </w:t>
      </w:r>
      <w:r w:rsidRPr="00D7366E">
        <w:rPr>
          <w:rFonts w:asciiTheme="majorHAnsi" w:hAnsiTheme="majorHAnsi"/>
          <w:sz w:val="24"/>
          <w:szCs w:val="24"/>
        </w:rPr>
        <w:t>Office.</w:t>
      </w:r>
    </w:p>
    <w:p w14:paraId="44B1EEA9" w14:textId="77777777" w:rsidR="00130E98" w:rsidRPr="00130E98" w:rsidRDefault="00130E98" w:rsidP="00130E98">
      <w:pPr>
        <w:widowControl w:val="0"/>
        <w:tabs>
          <w:tab w:val="left" w:pos="841"/>
        </w:tabs>
        <w:autoSpaceDE w:val="0"/>
        <w:autoSpaceDN w:val="0"/>
        <w:spacing w:after="0" w:line="240" w:lineRule="auto"/>
        <w:ind w:right="148"/>
        <w:rPr>
          <w:rFonts w:asciiTheme="majorHAnsi" w:hAnsiTheme="majorHAnsi"/>
          <w:sz w:val="18"/>
          <w:szCs w:val="24"/>
        </w:rPr>
      </w:pPr>
    </w:p>
    <w:p w14:paraId="791D9B10" w14:textId="77777777" w:rsidR="00D7366E" w:rsidRDefault="00D7366E" w:rsidP="00D7366E">
      <w:pPr>
        <w:pStyle w:val="ListParagraph"/>
        <w:widowControl w:val="0"/>
        <w:numPr>
          <w:ilvl w:val="0"/>
          <w:numId w:val="2"/>
        </w:numPr>
        <w:tabs>
          <w:tab w:val="left" w:pos="841"/>
        </w:tabs>
        <w:autoSpaceDE w:val="0"/>
        <w:autoSpaceDN w:val="0"/>
        <w:spacing w:before="8" w:after="0" w:line="240" w:lineRule="auto"/>
        <w:ind w:right="160" w:hanging="360"/>
        <w:contextualSpacing w:val="0"/>
        <w:rPr>
          <w:rFonts w:asciiTheme="majorHAnsi" w:hAnsiTheme="majorHAnsi"/>
          <w:sz w:val="24"/>
          <w:szCs w:val="24"/>
        </w:rPr>
      </w:pPr>
      <w:r w:rsidRPr="00D7366E">
        <w:rPr>
          <w:rFonts w:asciiTheme="majorHAnsi" w:hAnsiTheme="majorHAnsi"/>
          <w:b/>
          <w:sz w:val="24"/>
          <w:szCs w:val="24"/>
        </w:rPr>
        <w:t xml:space="preserve">Describe how your organization has a quantifiable impact on the reduction of gun and gang violence in the targeted area(s). </w:t>
      </w:r>
      <w:r w:rsidRPr="00D7366E">
        <w:rPr>
          <w:rFonts w:asciiTheme="majorHAnsi" w:hAnsiTheme="majorHAnsi"/>
          <w:sz w:val="24"/>
          <w:szCs w:val="24"/>
        </w:rPr>
        <w:t xml:space="preserve">Please note that this grant program requires specific data on the </w:t>
      </w:r>
      <w:r w:rsidRPr="00D7366E">
        <w:rPr>
          <w:rFonts w:asciiTheme="majorHAnsi" w:hAnsiTheme="majorHAnsi"/>
          <w:b/>
          <w:i/>
          <w:sz w:val="24"/>
          <w:szCs w:val="24"/>
          <w:u w:val="thick"/>
        </w:rPr>
        <w:t xml:space="preserve">reduction of gun and gang </w:t>
      </w:r>
      <w:r w:rsidRPr="00D7366E">
        <w:rPr>
          <w:rFonts w:asciiTheme="majorHAnsi" w:hAnsiTheme="majorHAnsi"/>
          <w:sz w:val="24"/>
          <w:szCs w:val="24"/>
        </w:rPr>
        <w:t xml:space="preserve">crime within the area. All organizations that are slated to receive funds </w:t>
      </w:r>
      <w:r w:rsidRPr="00D7366E">
        <w:rPr>
          <w:rFonts w:asciiTheme="majorHAnsi" w:hAnsiTheme="majorHAnsi"/>
          <w:sz w:val="24"/>
          <w:szCs w:val="24"/>
          <w:u w:val="single"/>
        </w:rPr>
        <w:t>must</w:t>
      </w:r>
      <w:r w:rsidRPr="00D7366E">
        <w:rPr>
          <w:rFonts w:asciiTheme="majorHAnsi" w:hAnsiTheme="majorHAnsi"/>
          <w:sz w:val="24"/>
          <w:szCs w:val="24"/>
        </w:rPr>
        <w:t xml:space="preserve"> have a positive history of reducing gun and gang crime violence within the</w:t>
      </w:r>
      <w:r w:rsidRPr="00D7366E">
        <w:rPr>
          <w:rFonts w:asciiTheme="majorHAnsi" w:hAnsiTheme="majorHAnsi"/>
          <w:spacing w:val="-9"/>
          <w:sz w:val="24"/>
          <w:szCs w:val="24"/>
        </w:rPr>
        <w:t xml:space="preserve"> </w:t>
      </w:r>
      <w:r w:rsidRPr="00D7366E">
        <w:rPr>
          <w:rFonts w:asciiTheme="majorHAnsi" w:hAnsiTheme="majorHAnsi"/>
          <w:sz w:val="24"/>
          <w:szCs w:val="24"/>
        </w:rPr>
        <w:t>area</w:t>
      </w:r>
      <w:r w:rsidR="00130E98">
        <w:rPr>
          <w:rFonts w:asciiTheme="majorHAnsi" w:hAnsiTheme="majorHAnsi"/>
          <w:sz w:val="24"/>
          <w:szCs w:val="24"/>
        </w:rPr>
        <w:t>.</w:t>
      </w:r>
    </w:p>
    <w:p w14:paraId="7FD2B490" w14:textId="77777777" w:rsidR="00130E98" w:rsidRPr="00130E98" w:rsidRDefault="00130E98" w:rsidP="00130E98">
      <w:pPr>
        <w:widowControl w:val="0"/>
        <w:tabs>
          <w:tab w:val="left" w:pos="841"/>
        </w:tabs>
        <w:autoSpaceDE w:val="0"/>
        <w:autoSpaceDN w:val="0"/>
        <w:spacing w:before="8" w:after="0" w:line="240" w:lineRule="auto"/>
        <w:ind w:right="160"/>
        <w:rPr>
          <w:rFonts w:asciiTheme="majorHAnsi" w:hAnsiTheme="majorHAnsi"/>
          <w:sz w:val="18"/>
          <w:szCs w:val="24"/>
        </w:rPr>
      </w:pPr>
    </w:p>
    <w:p w14:paraId="5165ECFA" w14:textId="77777777" w:rsidR="00D7366E" w:rsidRDefault="00D7366E" w:rsidP="00D7366E">
      <w:pPr>
        <w:pStyle w:val="ListParagraph"/>
        <w:widowControl w:val="0"/>
        <w:numPr>
          <w:ilvl w:val="0"/>
          <w:numId w:val="2"/>
        </w:numPr>
        <w:tabs>
          <w:tab w:val="left" w:pos="841"/>
        </w:tabs>
        <w:autoSpaceDE w:val="0"/>
        <w:autoSpaceDN w:val="0"/>
        <w:spacing w:before="2" w:after="0" w:line="240" w:lineRule="auto"/>
        <w:ind w:right="263" w:hanging="360"/>
        <w:contextualSpacing w:val="0"/>
        <w:rPr>
          <w:rFonts w:asciiTheme="majorHAnsi" w:hAnsiTheme="majorHAnsi"/>
          <w:sz w:val="24"/>
          <w:szCs w:val="24"/>
        </w:rPr>
      </w:pPr>
      <w:r w:rsidRPr="00D7366E">
        <w:rPr>
          <w:rFonts w:asciiTheme="majorHAnsi" w:hAnsiTheme="majorHAnsi"/>
          <w:b/>
          <w:sz w:val="24"/>
          <w:szCs w:val="24"/>
        </w:rPr>
        <w:t xml:space="preserve">Please describe your experience in implementing evidence-based practices that target criminogenic thinking. </w:t>
      </w:r>
      <w:r w:rsidRPr="00D7366E">
        <w:rPr>
          <w:rFonts w:asciiTheme="majorHAnsi" w:hAnsiTheme="majorHAnsi"/>
          <w:sz w:val="24"/>
          <w:szCs w:val="24"/>
        </w:rPr>
        <w:t>Current social science and criminal justice research demonstrates that offenders reentering the community</w:t>
      </w:r>
      <w:r w:rsidRPr="00D7366E">
        <w:rPr>
          <w:rFonts w:asciiTheme="majorHAnsi" w:hAnsiTheme="majorHAnsi"/>
          <w:spacing w:val="-3"/>
          <w:sz w:val="24"/>
          <w:szCs w:val="24"/>
        </w:rPr>
        <w:t xml:space="preserve"> </w:t>
      </w:r>
      <w:r w:rsidRPr="00D7366E">
        <w:rPr>
          <w:rFonts w:asciiTheme="majorHAnsi" w:hAnsiTheme="majorHAnsi"/>
          <w:sz w:val="24"/>
          <w:szCs w:val="24"/>
        </w:rPr>
        <w:t>must</w:t>
      </w:r>
      <w:r w:rsidRPr="00D7366E">
        <w:rPr>
          <w:rFonts w:asciiTheme="majorHAnsi" w:hAnsiTheme="majorHAnsi"/>
          <w:spacing w:val="-2"/>
          <w:sz w:val="24"/>
          <w:szCs w:val="24"/>
        </w:rPr>
        <w:t xml:space="preserve"> </w:t>
      </w:r>
      <w:r w:rsidRPr="00D7366E">
        <w:rPr>
          <w:rFonts w:asciiTheme="majorHAnsi" w:hAnsiTheme="majorHAnsi"/>
          <w:sz w:val="24"/>
          <w:szCs w:val="24"/>
        </w:rPr>
        <w:t>be</w:t>
      </w:r>
      <w:r w:rsidRPr="00D7366E">
        <w:rPr>
          <w:rFonts w:asciiTheme="majorHAnsi" w:hAnsiTheme="majorHAnsi"/>
          <w:spacing w:val="-3"/>
          <w:sz w:val="24"/>
          <w:szCs w:val="24"/>
        </w:rPr>
        <w:t xml:space="preserve"> </w:t>
      </w:r>
      <w:r w:rsidRPr="00D7366E">
        <w:rPr>
          <w:rFonts w:asciiTheme="majorHAnsi" w:hAnsiTheme="majorHAnsi"/>
          <w:sz w:val="24"/>
          <w:szCs w:val="24"/>
        </w:rPr>
        <w:t>provided</w:t>
      </w:r>
      <w:r w:rsidRPr="00D7366E">
        <w:rPr>
          <w:rFonts w:asciiTheme="majorHAnsi" w:hAnsiTheme="majorHAnsi"/>
          <w:spacing w:val="-3"/>
          <w:sz w:val="24"/>
          <w:szCs w:val="24"/>
        </w:rPr>
        <w:t xml:space="preserve"> </w:t>
      </w:r>
      <w:r w:rsidRPr="00D7366E">
        <w:rPr>
          <w:rFonts w:asciiTheme="majorHAnsi" w:hAnsiTheme="majorHAnsi"/>
          <w:sz w:val="24"/>
          <w:szCs w:val="24"/>
        </w:rPr>
        <w:t>with</w:t>
      </w:r>
      <w:r w:rsidRPr="00D7366E">
        <w:rPr>
          <w:rFonts w:asciiTheme="majorHAnsi" w:hAnsiTheme="majorHAnsi"/>
          <w:spacing w:val="-3"/>
          <w:sz w:val="24"/>
          <w:szCs w:val="24"/>
        </w:rPr>
        <w:t xml:space="preserve"> </w:t>
      </w:r>
      <w:r w:rsidRPr="00D7366E">
        <w:rPr>
          <w:rFonts w:asciiTheme="majorHAnsi" w:hAnsiTheme="majorHAnsi"/>
          <w:sz w:val="24"/>
          <w:szCs w:val="24"/>
        </w:rPr>
        <w:t>significant</w:t>
      </w:r>
      <w:r w:rsidRPr="00D7366E">
        <w:rPr>
          <w:rFonts w:asciiTheme="majorHAnsi" w:hAnsiTheme="majorHAnsi"/>
          <w:spacing w:val="-2"/>
          <w:sz w:val="24"/>
          <w:szCs w:val="24"/>
        </w:rPr>
        <w:t xml:space="preserve"> </w:t>
      </w:r>
      <w:r w:rsidRPr="00D7366E">
        <w:rPr>
          <w:rFonts w:asciiTheme="majorHAnsi" w:hAnsiTheme="majorHAnsi"/>
          <w:sz w:val="24"/>
          <w:szCs w:val="24"/>
        </w:rPr>
        <w:t>programming</w:t>
      </w:r>
      <w:r w:rsidRPr="00D7366E">
        <w:rPr>
          <w:rFonts w:asciiTheme="majorHAnsi" w:hAnsiTheme="majorHAnsi"/>
          <w:spacing w:val="-6"/>
          <w:sz w:val="24"/>
          <w:szCs w:val="24"/>
        </w:rPr>
        <w:t xml:space="preserve"> </w:t>
      </w:r>
      <w:r w:rsidRPr="00D7366E">
        <w:rPr>
          <w:rFonts w:asciiTheme="majorHAnsi" w:hAnsiTheme="majorHAnsi"/>
          <w:sz w:val="24"/>
          <w:szCs w:val="24"/>
        </w:rPr>
        <w:t>aimed</w:t>
      </w:r>
      <w:r w:rsidRPr="00D7366E">
        <w:rPr>
          <w:rFonts w:asciiTheme="majorHAnsi" w:hAnsiTheme="majorHAnsi"/>
          <w:spacing w:val="-3"/>
          <w:sz w:val="24"/>
          <w:szCs w:val="24"/>
        </w:rPr>
        <w:t xml:space="preserve"> </w:t>
      </w:r>
      <w:r w:rsidRPr="00D7366E">
        <w:rPr>
          <w:rFonts w:asciiTheme="majorHAnsi" w:hAnsiTheme="majorHAnsi"/>
          <w:sz w:val="24"/>
          <w:szCs w:val="24"/>
        </w:rPr>
        <w:t>at</w:t>
      </w:r>
      <w:r w:rsidRPr="00D7366E">
        <w:rPr>
          <w:rFonts w:asciiTheme="majorHAnsi" w:hAnsiTheme="majorHAnsi"/>
          <w:spacing w:val="-2"/>
          <w:sz w:val="24"/>
          <w:szCs w:val="24"/>
        </w:rPr>
        <w:t xml:space="preserve"> </w:t>
      </w:r>
      <w:r w:rsidRPr="00D7366E">
        <w:rPr>
          <w:rFonts w:asciiTheme="majorHAnsi" w:hAnsiTheme="majorHAnsi"/>
          <w:sz w:val="24"/>
          <w:szCs w:val="24"/>
        </w:rPr>
        <w:t>altering</w:t>
      </w:r>
      <w:r w:rsidRPr="00D7366E">
        <w:rPr>
          <w:rFonts w:asciiTheme="majorHAnsi" w:hAnsiTheme="majorHAnsi"/>
          <w:spacing w:val="-6"/>
          <w:sz w:val="24"/>
          <w:szCs w:val="24"/>
        </w:rPr>
        <w:t xml:space="preserve"> </w:t>
      </w:r>
      <w:r w:rsidRPr="00D7366E">
        <w:rPr>
          <w:rFonts w:asciiTheme="majorHAnsi" w:hAnsiTheme="majorHAnsi"/>
          <w:sz w:val="24"/>
          <w:szCs w:val="24"/>
        </w:rPr>
        <w:t>criminal</w:t>
      </w:r>
      <w:r w:rsidRPr="00D7366E">
        <w:rPr>
          <w:rFonts w:asciiTheme="majorHAnsi" w:hAnsiTheme="majorHAnsi"/>
          <w:spacing w:val="-2"/>
          <w:sz w:val="24"/>
          <w:szCs w:val="24"/>
        </w:rPr>
        <w:t xml:space="preserve"> </w:t>
      </w:r>
      <w:r w:rsidRPr="00D7366E">
        <w:rPr>
          <w:rFonts w:asciiTheme="majorHAnsi" w:hAnsiTheme="majorHAnsi"/>
          <w:sz w:val="24"/>
          <w:szCs w:val="24"/>
        </w:rPr>
        <w:t>thinking.</w:t>
      </w:r>
      <w:r w:rsidRPr="00D7366E">
        <w:rPr>
          <w:rFonts w:asciiTheme="majorHAnsi" w:hAnsiTheme="majorHAnsi"/>
          <w:spacing w:val="-3"/>
          <w:sz w:val="24"/>
          <w:szCs w:val="24"/>
        </w:rPr>
        <w:t xml:space="preserve"> </w:t>
      </w:r>
      <w:r w:rsidRPr="00D7366E">
        <w:rPr>
          <w:rFonts w:asciiTheme="majorHAnsi" w:hAnsiTheme="majorHAnsi"/>
          <w:sz w:val="24"/>
          <w:szCs w:val="24"/>
        </w:rPr>
        <w:t>Please</w:t>
      </w:r>
      <w:r w:rsidRPr="00D7366E">
        <w:rPr>
          <w:rFonts w:asciiTheme="majorHAnsi" w:hAnsiTheme="majorHAnsi"/>
          <w:spacing w:val="-3"/>
          <w:sz w:val="24"/>
          <w:szCs w:val="24"/>
        </w:rPr>
        <w:t xml:space="preserve"> </w:t>
      </w:r>
      <w:r w:rsidRPr="00D7366E">
        <w:rPr>
          <w:rFonts w:asciiTheme="majorHAnsi" w:hAnsiTheme="majorHAnsi"/>
          <w:sz w:val="24"/>
          <w:szCs w:val="24"/>
        </w:rPr>
        <w:t>highlight your</w:t>
      </w:r>
      <w:r w:rsidRPr="00D7366E">
        <w:rPr>
          <w:rFonts w:asciiTheme="majorHAnsi" w:hAnsiTheme="majorHAnsi"/>
          <w:spacing w:val="-3"/>
          <w:sz w:val="24"/>
          <w:szCs w:val="24"/>
        </w:rPr>
        <w:t xml:space="preserve"> </w:t>
      </w:r>
      <w:r w:rsidRPr="00D7366E">
        <w:rPr>
          <w:rFonts w:asciiTheme="majorHAnsi" w:hAnsiTheme="majorHAnsi"/>
          <w:sz w:val="24"/>
          <w:szCs w:val="24"/>
        </w:rPr>
        <w:t>organization’s</w:t>
      </w:r>
      <w:r w:rsidRPr="00D7366E">
        <w:rPr>
          <w:rFonts w:asciiTheme="majorHAnsi" w:hAnsiTheme="majorHAnsi"/>
          <w:spacing w:val="-3"/>
          <w:sz w:val="24"/>
          <w:szCs w:val="24"/>
        </w:rPr>
        <w:t xml:space="preserve"> </w:t>
      </w:r>
      <w:r w:rsidRPr="00D7366E">
        <w:rPr>
          <w:rFonts w:asciiTheme="majorHAnsi" w:hAnsiTheme="majorHAnsi"/>
          <w:sz w:val="24"/>
          <w:szCs w:val="24"/>
        </w:rPr>
        <w:t>abilities</w:t>
      </w:r>
      <w:r w:rsidRPr="00D7366E">
        <w:rPr>
          <w:rFonts w:asciiTheme="majorHAnsi" w:hAnsiTheme="majorHAnsi"/>
          <w:spacing w:val="-3"/>
          <w:sz w:val="24"/>
          <w:szCs w:val="24"/>
        </w:rPr>
        <w:t xml:space="preserve"> </w:t>
      </w:r>
      <w:r w:rsidRPr="00D7366E">
        <w:rPr>
          <w:rFonts w:asciiTheme="majorHAnsi" w:hAnsiTheme="majorHAnsi"/>
          <w:sz w:val="24"/>
          <w:szCs w:val="24"/>
        </w:rPr>
        <w:t>and</w:t>
      </w:r>
      <w:r w:rsidRPr="00D7366E">
        <w:rPr>
          <w:rFonts w:asciiTheme="majorHAnsi" w:hAnsiTheme="majorHAnsi"/>
          <w:spacing w:val="-3"/>
          <w:sz w:val="24"/>
          <w:szCs w:val="24"/>
        </w:rPr>
        <w:t xml:space="preserve"> </w:t>
      </w:r>
      <w:r w:rsidRPr="00D7366E">
        <w:rPr>
          <w:rFonts w:asciiTheme="majorHAnsi" w:hAnsiTheme="majorHAnsi"/>
          <w:sz w:val="24"/>
          <w:szCs w:val="24"/>
        </w:rPr>
        <w:t>capabilities</w:t>
      </w:r>
      <w:r w:rsidRPr="00D7366E">
        <w:rPr>
          <w:rFonts w:asciiTheme="majorHAnsi" w:hAnsiTheme="majorHAnsi"/>
          <w:spacing w:val="-3"/>
          <w:sz w:val="24"/>
          <w:szCs w:val="24"/>
        </w:rPr>
        <w:t xml:space="preserve"> </w:t>
      </w:r>
      <w:r w:rsidRPr="00D7366E">
        <w:rPr>
          <w:rFonts w:asciiTheme="majorHAnsi" w:hAnsiTheme="majorHAnsi"/>
          <w:sz w:val="24"/>
          <w:szCs w:val="24"/>
        </w:rPr>
        <w:t>in</w:t>
      </w:r>
      <w:r w:rsidRPr="00D7366E">
        <w:rPr>
          <w:rFonts w:asciiTheme="majorHAnsi" w:hAnsiTheme="majorHAnsi"/>
          <w:spacing w:val="-6"/>
          <w:sz w:val="24"/>
          <w:szCs w:val="24"/>
        </w:rPr>
        <w:t xml:space="preserve"> </w:t>
      </w:r>
      <w:r w:rsidRPr="00D7366E">
        <w:rPr>
          <w:rFonts w:asciiTheme="majorHAnsi" w:hAnsiTheme="majorHAnsi"/>
          <w:sz w:val="24"/>
          <w:szCs w:val="24"/>
        </w:rPr>
        <w:t>incorporating</w:t>
      </w:r>
      <w:r w:rsidRPr="00D7366E">
        <w:rPr>
          <w:rFonts w:asciiTheme="majorHAnsi" w:hAnsiTheme="majorHAnsi"/>
          <w:spacing w:val="-6"/>
          <w:sz w:val="24"/>
          <w:szCs w:val="24"/>
        </w:rPr>
        <w:t xml:space="preserve"> </w:t>
      </w:r>
      <w:r w:rsidRPr="00D7366E">
        <w:rPr>
          <w:rFonts w:asciiTheme="majorHAnsi" w:hAnsiTheme="majorHAnsi"/>
          <w:sz w:val="24"/>
          <w:szCs w:val="24"/>
        </w:rPr>
        <w:t>these</w:t>
      </w:r>
      <w:r w:rsidRPr="00D7366E">
        <w:rPr>
          <w:rFonts w:asciiTheme="majorHAnsi" w:hAnsiTheme="majorHAnsi"/>
          <w:spacing w:val="-3"/>
          <w:sz w:val="24"/>
          <w:szCs w:val="24"/>
        </w:rPr>
        <w:t xml:space="preserve"> </w:t>
      </w:r>
      <w:r w:rsidRPr="00D7366E">
        <w:rPr>
          <w:rFonts w:asciiTheme="majorHAnsi" w:hAnsiTheme="majorHAnsi"/>
          <w:sz w:val="24"/>
          <w:szCs w:val="24"/>
        </w:rPr>
        <w:t>programs</w:t>
      </w:r>
      <w:r w:rsidRPr="00D7366E">
        <w:rPr>
          <w:rFonts w:asciiTheme="majorHAnsi" w:hAnsiTheme="majorHAnsi"/>
          <w:spacing w:val="-3"/>
          <w:sz w:val="24"/>
          <w:szCs w:val="24"/>
        </w:rPr>
        <w:t xml:space="preserve"> </w:t>
      </w:r>
      <w:r w:rsidRPr="00D7366E">
        <w:rPr>
          <w:rFonts w:asciiTheme="majorHAnsi" w:hAnsiTheme="majorHAnsi"/>
          <w:sz w:val="24"/>
          <w:szCs w:val="24"/>
        </w:rPr>
        <w:t>into</w:t>
      </w:r>
      <w:r w:rsidRPr="00D7366E">
        <w:rPr>
          <w:rFonts w:asciiTheme="majorHAnsi" w:hAnsiTheme="majorHAnsi"/>
          <w:spacing w:val="-6"/>
          <w:sz w:val="24"/>
          <w:szCs w:val="24"/>
        </w:rPr>
        <w:t xml:space="preserve"> </w:t>
      </w:r>
      <w:r w:rsidRPr="00D7366E">
        <w:rPr>
          <w:rFonts w:asciiTheme="majorHAnsi" w:hAnsiTheme="majorHAnsi"/>
          <w:sz w:val="24"/>
          <w:szCs w:val="24"/>
        </w:rPr>
        <w:t>your</w:t>
      </w:r>
      <w:r w:rsidRPr="00D7366E">
        <w:rPr>
          <w:rFonts w:asciiTheme="majorHAnsi" w:hAnsiTheme="majorHAnsi"/>
          <w:spacing w:val="-3"/>
          <w:sz w:val="24"/>
          <w:szCs w:val="24"/>
        </w:rPr>
        <w:t xml:space="preserve"> </w:t>
      </w:r>
      <w:r w:rsidRPr="00D7366E">
        <w:rPr>
          <w:rFonts w:asciiTheme="majorHAnsi" w:hAnsiTheme="majorHAnsi"/>
          <w:sz w:val="24"/>
          <w:szCs w:val="24"/>
        </w:rPr>
        <w:t>existing</w:t>
      </w:r>
      <w:r w:rsidRPr="00D7366E">
        <w:rPr>
          <w:rFonts w:asciiTheme="majorHAnsi" w:hAnsiTheme="majorHAnsi"/>
          <w:spacing w:val="-6"/>
          <w:sz w:val="24"/>
          <w:szCs w:val="24"/>
        </w:rPr>
        <w:t xml:space="preserve"> </w:t>
      </w:r>
      <w:r w:rsidRPr="00D7366E">
        <w:rPr>
          <w:rFonts w:asciiTheme="majorHAnsi" w:hAnsiTheme="majorHAnsi"/>
          <w:sz w:val="24"/>
          <w:szCs w:val="24"/>
        </w:rPr>
        <w:t>services.</w:t>
      </w:r>
    </w:p>
    <w:p w14:paraId="4E41059E" w14:textId="77777777" w:rsidR="00130E98" w:rsidRPr="00130E98" w:rsidRDefault="00130E98" w:rsidP="00130E98">
      <w:pPr>
        <w:widowControl w:val="0"/>
        <w:tabs>
          <w:tab w:val="left" w:pos="841"/>
        </w:tabs>
        <w:autoSpaceDE w:val="0"/>
        <w:autoSpaceDN w:val="0"/>
        <w:spacing w:before="2" w:after="0" w:line="240" w:lineRule="auto"/>
        <w:ind w:right="263"/>
        <w:rPr>
          <w:rFonts w:asciiTheme="majorHAnsi" w:hAnsiTheme="majorHAnsi"/>
          <w:sz w:val="18"/>
          <w:szCs w:val="24"/>
        </w:rPr>
      </w:pPr>
    </w:p>
    <w:p w14:paraId="2F814D39" w14:textId="77777777" w:rsidR="00D7366E" w:rsidRPr="00D7366E" w:rsidRDefault="00D7366E" w:rsidP="00D7366E">
      <w:pPr>
        <w:pStyle w:val="ListParagraph"/>
        <w:widowControl w:val="0"/>
        <w:numPr>
          <w:ilvl w:val="0"/>
          <w:numId w:val="2"/>
        </w:numPr>
        <w:tabs>
          <w:tab w:val="left" w:pos="841"/>
        </w:tabs>
        <w:autoSpaceDE w:val="0"/>
        <w:autoSpaceDN w:val="0"/>
        <w:spacing w:before="2" w:after="0" w:line="240" w:lineRule="auto"/>
        <w:ind w:right="263" w:hanging="360"/>
        <w:contextualSpacing w:val="0"/>
        <w:rPr>
          <w:rFonts w:asciiTheme="majorHAnsi" w:hAnsiTheme="majorHAnsi"/>
          <w:sz w:val="24"/>
          <w:szCs w:val="24"/>
        </w:rPr>
      </w:pPr>
      <w:r w:rsidRPr="00D7366E">
        <w:rPr>
          <w:rFonts w:asciiTheme="majorHAnsi" w:hAnsiTheme="majorHAnsi"/>
          <w:b/>
          <w:sz w:val="24"/>
          <w:szCs w:val="24"/>
        </w:rPr>
        <w:t xml:space="preserve">Describe how your organization will partner with and liaise with the U.S. Attorney’s Office. </w:t>
      </w:r>
      <w:r w:rsidRPr="00D7366E">
        <w:rPr>
          <w:rFonts w:asciiTheme="majorHAnsi" w:hAnsiTheme="majorHAnsi"/>
          <w:sz w:val="24"/>
          <w:szCs w:val="24"/>
        </w:rPr>
        <w:t>The USA’s Office must incorporate the design elements listed above. Please speak to your organization’s ability to complement and/or bolster one or more of the design</w:t>
      </w:r>
      <w:r w:rsidRPr="00D7366E">
        <w:rPr>
          <w:rFonts w:asciiTheme="majorHAnsi" w:hAnsiTheme="majorHAnsi"/>
          <w:spacing w:val="-15"/>
          <w:sz w:val="24"/>
          <w:szCs w:val="24"/>
        </w:rPr>
        <w:t xml:space="preserve"> </w:t>
      </w:r>
      <w:r w:rsidRPr="00D7366E">
        <w:rPr>
          <w:rFonts w:asciiTheme="majorHAnsi" w:hAnsiTheme="majorHAnsi"/>
          <w:sz w:val="24"/>
          <w:szCs w:val="24"/>
        </w:rPr>
        <w:t>features.</w:t>
      </w:r>
    </w:p>
    <w:p w14:paraId="0E7C60D9" w14:textId="77777777" w:rsidR="00D7366E" w:rsidRPr="00D7366E" w:rsidRDefault="00D7366E" w:rsidP="00D7366E">
      <w:pPr>
        <w:widowControl w:val="0"/>
        <w:tabs>
          <w:tab w:val="left" w:pos="821"/>
        </w:tabs>
        <w:autoSpaceDE w:val="0"/>
        <w:autoSpaceDN w:val="0"/>
        <w:spacing w:before="2" w:after="0" w:line="240" w:lineRule="auto"/>
        <w:ind w:left="820" w:right="640"/>
        <w:rPr>
          <w:rFonts w:asciiTheme="majorHAnsi" w:eastAsia="Times New Roman" w:hAnsiTheme="majorHAnsi" w:cstheme="majorHAnsi"/>
          <w:sz w:val="18"/>
        </w:rPr>
      </w:pPr>
    </w:p>
    <w:p w14:paraId="549C0FD7" w14:textId="77777777" w:rsidR="00D7366E" w:rsidRPr="00D7366E" w:rsidRDefault="00D7366E" w:rsidP="00D7366E">
      <w:pPr>
        <w:widowControl w:val="0"/>
        <w:numPr>
          <w:ilvl w:val="0"/>
          <w:numId w:val="1"/>
        </w:numPr>
        <w:tabs>
          <w:tab w:val="left" w:pos="821"/>
        </w:tabs>
        <w:autoSpaceDE w:val="0"/>
        <w:autoSpaceDN w:val="0"/>
        <w:spacing w:before="4" w:after="0" w:line="240" w:lineRule="auto"/>
        <w:outlineLvl w:val="0"/>
        <w:rPr>
          <w:rFonts w:asciiTheme="majorHAnsi" w:eastAsia="Times New Roman" w:hAnsiTheme="majorHAnsi" w:cstheme="majorHAnsi"/>
          <w:b/>
          <w:bCs/>
          <w:sz w:val="24"/>
        </w:rPr>
      </w:pPr>
      <w:r w:rsidRPr="00D7366E">
        <w:rPr>
          <w:rFonts w:asciiTheme="majorHAnsi" w:eastAsia="Times New Roman" w:hAnsiTheme="majorHAnsi" w:cstheme="majorHAnsi"/>
          <w:b/>
          <w:bCs/>
          <w:sz w:val="24"/>
        </w:rPr>
        <w:t>Please project a budget for the 24 months (beginning May 1, 2019) using the provided</w:t>
      </w:r>
      <w:r w:rsidRPr="00D7366E">
        <w:rPr>
          <w:rFonts w:asciiTheme="majorHAnsi" w:eastAsia="Times New Roman" w:hAnsiTheme="majorHAnsi" w:cstheme="majorHAnsi"/>
          <w:b/>
          <w:bCs/>
          <w:spacing w:val="-23"/>
          <w:sz w:val="24"/>
        </w:rPr>
        <w:t xml:space="preserve"> </w:t>
      </w:r>
      <w:r w:rsidRPr="00D7366E">
        <w:rPr>
          <w:rFonts w:asciiTheme="majorHAnsi" w:eastAsia="Times New Roman" w:hAnsiTheme="majorHAnsi" w:cstheme="majorHAnsi"/>
          <w:b/>
          <w:bCs/>
          <w:sz w:val="24"/>
        </w:rPr>
        <w:t>template</w:t>
      </w:r>
    </w:p>
    <w:p w14:paraId="02188EFD" w14:textId="77777777" w:rsidR="00D7366E" w:rsidRPr="00D7366E" w:rsidRDefault="00D7366E" w:rsidP="00D7366E">
      <w:pPr>
        <w:rPr>
          <w:rFonts w:asciiTheme="majorHAnsi" w:hAnsiTheme="majorHAnsi"/>
          <w:b/>
          <w:sz w:val="24"/>
        </w:rPr>
      </w:pPr>
      <w:r w:rsidRPr="00D7366E">
        <w:rPr>
          <w:rFonts w:asciiTheme="majorHAnsi" w:hAnsiTheme="majorHAnsi" w:cstheme="majorHAnsi"/>
          <w:noProof/>
          <w:sz w:val="24"/>
        </w:rPr>
        <mc:AlternateContent>
          <mc:Choice Requires="wps">
            <w:drawing>
              <wp:anchor distT="0" distB="0" distL="114300" distR="114300" simplePos="0" relativeHeight="251660288" behindDoc="0" locked="0" layoutInCell="1" allowOverlap="1" wp14:anchorId="6605FC7D" wp14:editId="0EB437E1">
                <wp:simplePos x="0" y="0"/>
                <wp:positionH relativeFrom="margin">
                  <wp:align>right</wp:align>
                </wp:positionH>
                <wp:positionV relativeFrom="paragraph">
                  <wp:posOffset>137795</wp:posOffset>
                </wp:positionV>
                <wp:extent cx="5972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9721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32F0C97" id="Straight Connecto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85pt" to="889.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" strokecolor="windowText" strokeweight=".5pt">
                <v:stroke joinstyle="miter"/>
                <w10:wrap anchorx="margin"/>
              </v:line>
            </w:pict>
          </mc:Fallback>
        </mc:AlternateContent>
      </w:r>
    </w:p>
    <w:p w14:paraId="03323843" w14:textId="77777777" w:rsidR="00D7366E" w:rsidRPr="00D7366E" w:rsidRDefault="00D7366E" w:rsidP="00D7366E">
      <w:pPr>
        <w:rPr>
          <w:rFonts w:asciiTheme="majorHAnsi" w:hAnsiTheme="majorHAnsi"/>
          <w:b/>
          <w:sz w:val="24"/>
        </w:rPr>
      </w:pPr>
      <w:r w:rsidRPr="00D7366E">
        <w:rPr>
          <w:rFonts w:asciiTheme="majorHAnsi" w:hAnsiTheme="majorHAnsi"/>
          <w:b/>
          <w:sz w:val="24"/>
        </w:rPr>
        <w:t xml:space="preserve">Reviewing the Application* </w:t>
      </w:r>
    </w:p>
    <w:p w14:paraId="38A5063C" w14:textId="77777777" w:rsidR="00D7366E" w:rsidRPr="00D7366E" w:rsidRDefault="00D7366E" w:rsidP="00D7366E">
      <w:pPr>
        <w:rPr>
          <w:rFonts w:asciiTheme="majorHAnsi" w:hAnsiTheme="majorHAnsi"/>
          <w:sz w:val="24"/>
        </w:rPr>
      </w:pPr>
      <w:r w:rsidRPr="00D7366E">
        <w:rPr>
          <w:rFonts w:asciiTheme="majorHAnsi" w:hAnsiTheme="majorHAnsi"/>
          <w:sz w:val="24"/>
        </w:rPr>
        <w:t>Please review all attachments found in the website announcement thoroughly prior to submitting your application</w:t>
      </w:r>
      <w:r w:rsidR="00130E98">
        <w:rPr>
          <w:rFonts w:asciiTheme="majorHAnsi" w:hAnsiTheme="majorHAnsi"/>
          <w:sz w:val="24"/>
        </w:rPr>
        <w:t xml:space="preserve">, information for </w:t>
      </w:r>
      <w:r w:rsidR="00130E98" w:rsidRPr="00130E98">
        <w:rPr>
          <w:rFonts w:asciiTheme="majorHAnsi" w:hAnsiTheme="majorHAnsi"/>
          <w:b/>
          <w:sz w:val="24"/>
        </w:rPr>
        <w:t>Applicant Workshop Webinar</w:t>
      </w:r>
      <w:r w:rsidR="00130E98">
        <w:rPr>
          <w:rFonts w:asciiTheme="majorHAnsi" w:hAnsiTheme="majorHAnsi"/>
          <w:sz w:val="24"/>
        </w:rPr>
        <w:t xml:space="preserve"> can be found there. </w:t>
      </w:r>
    </w:p>
    <w:p w14:paraId="2DECF67F" w14:textId="77777777" w:rsidR="00D7366E" w:rsidRPr="00D7366E" w:rsidRDefault="00D7366E" w:rsidP="00D7366E">
      <w:pPr>
        <w:rPr>
          <w:rFonts w:asciiTheme="majorHAnsi" w:hAnsiTheme="majorHAnsi"/>
          <w:b/>
          <w:sz w:val="24"/>
        </w:rPr>
      </w:pPr>
      <w:r w:rsidRPr="00D7366E">
        <w:rPr>
          <w:rFonts w:asciiTheme="majorHAnsi" w:hAnsiTheme="majorHAnsi"/>
          <w:b/>
          <w:sz w:val="24"/>
        </w:rPr>
        <w:t xml:space="preserve">HOW TO APPLY </w:t>
      </w:r>
    </w:p>
    <w:p w14:paraId="76B93C00" w14:textId="77777777" w:rsidR="00D7366E" w:rsidRPr="00D7366E" w:rsidRDefault="00D7366E" w:rsidP="00D7366E">
      <w:pPr>
        <w:rPr>
          <w:rFonts w:asciiTheme="majorHAnsi" w:hAnsiTheme="majorHAnsi"/>
          <w:sz w:val="24"/>
        </w:rPr>
      </w:pPr>
      <w:r w:rsidRPr="00D7366E">
        <w:rPr>
          <w:rFonts w:asciiTheme="majorHAnsi" w:hAnsiTheme="majorHAnsi"/>
          <w:sz w:val="24"/>
        </w:rPr>
        <w:t xml:space="preserve">Submit the completed application, detailed narrative and budget, to CJCC using the link provided in announcement. Please note that you will not be able to save an incomplete application and return at a later time. Ensure that you have all of the required information and attachments before submitting your documents. To be eligible for funding consideration, a complete application must be received by our office by </w:t>
      </w:r>
      <w:r w:rsidRPr="00D7366E">
        <w:rPr>
          <w:rFonts w:asciiTheme="majorHAnsi" w:hAnsiTheme="majorHAnsi"/>
          <w:b/>
          <w:sz w:val="24"/>
        </w:rPr>
        <w:t>April 19, 2019 at 5:00 P.M</w:t>
      </w:r>
      <w:r w:rsidRPr="00D7366E">
        <w:rPr>
          <w:rFonts w:asciiTheme="majorHAnsi" w:hAnsiTheme="majorHAnsi"/>
          <w:sz w:val="24"/>
        </w:rPr>
        <w:t>. No mail or e-mailed applications will be accepted.</w:t>
      </w:r>
    </w:p>
    <w:p w14:paraId="3B3FD259" w14:textId="77777777" w:rsidR="000F5113" w:rsidRDefault="0056669A"/>
    <w:sectPr w:rsidR="000F51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AB01" w14:textId="77777777" w:rsidR="002A3046" w:rsidRDefault="002A3046" w:rsidP="002A3046">
      <w:pPr>
        <w:spacing w:after="0" w:line="240" w:lineRule="auto"/>
      </w:pPr>
      <w:r>
        <w:separator/>
      </w:r>
    </w:p>
  </w:endnote>
  <w:endnote w:type="continuationSeparator" w:id="0">
    <w:p w14:paraId="1177A670" w14:textId="77777777" w:rsidR="002A3046" w:rsidRDefault="002A3046" w:rsidP="002A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051049"/>
      <w:docPartObj>
        <w:docPartGallery w:val="Page Numbers (Bottom of Page)"/>
        <w:docPartUnique/>
      </w:docPartObj>
    </w:sdtPr>
    <w:sdtEndPr>
      <w:rPr>
        <w:noProof/>
      </w:rPr>
    </w:sdtEndPr>
    <w:sdtContent>
      <w:p w14:paraId="3AE1883E" w14:textId="560B1A7F" w:rsidR="002A3046" w:rsidRDefault="002A3046">
        <w:pPr>
          <w:pStyle w:val="Footer"/>
          <w:jc w:val="center"/>
        </w:pPr>
        <w:r>
          <w:fldChar w:fldCharType="begin"/>
        </w:r>
        <w:r>
          <w:instrText xml:space="preserve"> PAGE   \* MERGEFORMAT </w:instrText>
        </w:r>
        <w:r>
          <w:fldChar w:fldCharType="separate"/>
        </w:r>
        <w:r w:rsidR="0056669A">
          <w:rPr>
            <w:noProof/>
          </w:rPr>
          <w:t>1</w:t>
        </w:r>
        <w:r>
          <w:rPr>
            <w:noProof/>
          </w:rPr>
          <w:fldChar w:fldCharType="end"/>
        </w:r>
      </w:p>
    </w:sdtContent>
  </w:sdt>
  <w:p w14:paraId="793481B8" w14:textId="77777777" w:rsidR="002A3046" w:rsidRDefault="002A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07EDE" w14:textId="77777777" w:rsidR="002A3046" w:rsidRDefault="002A3046" w:rsidP="002A3046">
      <w:pPr>
        <w:spacing w:after="0" w:line="240" w:lineRule="auto"/>
      </w:pPr>
      <w:r>
        <w:separator/>
      </w:r>
    </w:p>
  </w:footnote>
  <w:footnote w:type="continuationSeparator" w:id="0">
    <w:p w14:paraId="25727F16" w14:textId="77777777" w:rsidR="002A3046" w:rsidRDefault="002A3046" w:rsidP="002A3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804"/>
    <w:multiLevelType w:val="hybridMultilevel"/>
    <w:tmpl w:val="67488CFA"/>
    <w:lvl w:ilvl="0" w:tplc="CA24537A">
      <w:numFmt w:val="bullet"/>
      <w:lvlText w:val=""/>
      <w:lvlJc w:val="left"/>
      <w:pPr>
        <w:ind w:left="820" w:hanging="360"/>
      </w:pPr>
      <w:rPr>
        <w:rFonts w:ascii="Symbol" w:eastAsia="Symbol" w:hAnsi="Symbol" w:cs="Symbol" w:hint="default"/>
        <w:w w:val="99"/>
        <w:sz w:val="20"/>
        <w:szCs w:val="20"/>
      </w:rPr>
    </w:lvl>
    <w:lvl w:ilvl="1" w:tplc="D0946102">
      <w:numFmt w:val="bullet"/>
      <w:lvlText w:val="•"/>
      <w:lvlJc w:val="left"/>
      <w:pPr>
        <w:ind w:left="1766" w:hanging="360"/>
      </w:pPr>
    </w:lvl>
    <w:lvl w:ilvl="2" w:tplc="0D4699E0">
      <w:numFmt w:val="bullet"/>
      <w:lvlText w:val="•"/>
      <w:lvlJc w:val="left"/>
      <w:pPr>
        <w:ind w:left="2712" w:hanging="360"/>
      </w:pPr>
    </w:lvl>
    <w:lvl w:ilvl="3" w:tplc="99F01CB0">
      <w:numFmt w:val="bullet"/>
      <w:lvlText w:val="•"/>
      <w:lvlJc w:val="left"/>
      <w:pPr>
        <w:ind w:left="3658" w:hanging="360"/>
      </w:pPr>
    </w:lvl>
    <w:lvl w:ilvl="4" w:tplc="08EE0DB4">
      <w:numFmt w:val="bullet"/>
      <w:lvlText w:val="•"/>
      <w:lvlJc w:val="left"/>
      <w:pPr>
        <w:ind w:left="4604" w:hanging="360"/>
      </w:pPr>
    </w:lvl>
    <w:lvl w:ilvl="5" w:tplc="2BB08E9E">
      <w:numFmt w:val="bullet"/>
      <w:lvlText w:val="•"/>
      <w:lvlJc w:val="left"/>
      <w:pPr>
        <w:ind w:left="5550" w:hanging="360"/>
      </w:pPr>
    </w:lvl>
    <w:lvl w:ilvl="6" w:tplc="A49C8B1A">
      <w:numFmt w:val="bullet"/>
      <w:lvlText w:val="•"/>
      <w:lvlJc w:val="left"/>
      <w:pPr>
        <w:ind w:left="6496" w:hanging="360"/>
      </w:pPr>
    </w:lvl>
    <w:lvl w:ilvl="7" w:tplc="063C7862">
      <w:numFmt w:val="bullet"/>
      <w:lvlText w:val="•"/>
      <w:lvlJc w:val="left"/>
      <w:pPr>
        <w:ind w:left="7442" w:hanging="360"/>
      </w:pPr>
    </w:lvl>
    <w:lvl w:ilvl="8" w:tplc="B6488206">
      <w:numFmt w:val="bullet"/>
      <w:lvlText w:val="•"/>
      <w:lvlJc w:val="left"/>
      <w:pPr>
        <w:ind w:left="8388" w:hanging="360"/>
      </w:pPr>
    </w:lvl>
  </w:abstractNum>
  <w:abstractNum w:abstractNumId="1" w15:restartNumberingAfterBreak="0">
    <w:nsid w:val="23953262"/>
    <w:multiLevelType w:val="hybridMultilevel"/>
    <w:tmpl w:val="4A40E2F2"/>
    <w:lvl w:ilvl="0" w:tplc="035AFA86">
      <w:numFmt w:val="bullet"/>
      <w:lvlText w:val=""/>
      <w:lvlJc w:val="left"/>
      <w:pPr>
        <w:ind w:left="840" w:hanging="361"/>
      </w:pPr>
      <w:rPr>
        <w:rFonts w:ascii="Symbol" w:eastAsia="Symbol" w:hAnsi="Symbol" w:cs="Symbol" w:hint="default"/>
        <w:w w:val="100"/>
        <w:sz w:val="22"/>
        <w:szCs w:val="22"/>
      </w:rPr>
    </w:lvl>
    <w:lvl w:ilvl="1" w:tplc="683099B0">
      <w:numFmt w:val="bullet"/>
      <w:lvlText w:val="•"/>
      <w:lvlJc w:val="left"/>
      <w:pPr>
        <w:ind w:left="1856" w:hanging="361"/>
      </w:pPr>
    </w:lvl>
    <w:lvl w:ilvl="2" w:tplc="81FAEE50">
      <w:numFmt w:val="bullet"/>
      <w:lvlText w:val="•"/>
      <w:lvlJc w:val="left"/>
      <w:pPr>
        <w:ind w:left="2872" w:hanging="361"/>
      </w:pPr>
    </w:lvl>
    <w:lvl w:ilvl="3" w:tplc="375C3D98">
      <w:numFmt w:val="bullet"/>
      <w:lvlText w:val="•"/>
      <w:lvlJc w:val="left"/>
      <w:pPr>
        <w:ind w:left="3888" w:hanging="361"/>
      </w:pPr>
    </w:lvl>
    <w:lvl w:ilvl="4" w:tplc="4428FD7C">
      <w:numFmt w:val="bullet"/>
      <w:lvlText w:val="•"/>
      <w:lvlJc w:val="left"/>
      <w:pPr>
        <w:ind w:left="4904" w:hanging="361"/>
      </w:pPr>
    </w:lvl>
    <w:lvl w:ilvl="5" w:tplc="0FA46C7C">
      <w:numFmt w:val="bullet"/>
      <w:lvlText w:val="•"/>
      <w:lvlJc w:val="left"/>
      <w:pPr>
        <w:ind w:left="5920" w:hanging="361"/>
      </w:pPr>
    </w:lvl>
    <w:lvl w:ilvl="6" w:tplc="4316F7B6">
      <w:numFmt w:val="bullet"/>
      <w:lvlText w:val="•"/>
      <w:lvlJc w:val="left"/>
      <w:pPr>
        <w:ind w:left="6936" w:hanging="361"/>
      </w:pPr>
    </w:lvl>
    <w:lvl w:ilvl="7" w:tplc="9446A516">
      <w:numFmt w:val="bullet"/>
      <w:lvlText w:val="•"/>
      <w:lvlJc w:val="left"/>
      <w:pPr>
        <w:ind w:left="7952" w:hanging="361"/>
      </w:pPr>
    </w:lvl>
    <w:lvl w:ilvl="8" w:tplc="C9FEB52E">
      <w:numFmt w:val="bullet"/>
      <w:lvlText w:val="•"/>
      <w:lvlJc w:val="left"/>
      <w:pPr>
        <w:ind w:left="8968" w:hanging="36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66E"/>
    <w:rsid w:val="00130E98"/>
    <w:rsid w:val="001D6BA3"/>
    <w:rsid w:val="00244B77"/>
    <w:rsid w:val="00253525"/>
    <w:rsid w:val="002A3046"/>
    <w:rsid w:val="00397795"/>
    <w:rsid w:val="003D3A19"/>
    <w:rsid w:val="0047456D"/>
    <w:rsid w:val="0056669A"/>
    <w:rsid w:val="005A1ACA"/>
    <w:rsid w:val="006722BA"/>
    <w:rsid w:val="007F3052"/>
    <w:rsid w:val="0088772C"/>
    <w:rsid w:val="00917907"/>
    <w:rsid w:val="00B92834"/>
    <w:rsid w:val="00D7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BB18"/>
  <w15:chartTrackingRefBased/>
  <w15:docId w15:val="{57D553C0-E35B-4A1C-925A-3785C624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366E"/>
    <w:pPr>
      <w:ind w:left="720"/>
      <w:contextualSpacing/>
    </w:pPr>
  </w:style>
  <w:style w:type="paragraph" w:styleId="Header">
    <w:name w:val="header"/>
    <w:basedOn w:val="Normal"/>
    <w:link w:val="HeaderChar"/>
    <w:uiPriority w:val="99"/>
    <w:unhideWhenUsed/>
    <w:rsid w:val="002A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046"/>
  </w:style>
  <w:style w:type="paragraph" w:styleId="Footer">
    <w:name w:val="footer"/>
    <w:basedOn w:val="Normal"/>
    <w:link w:val="FooterChar"/>
    <w:uiPriority w:val="99"/>
    <w:unhideWhenUsed/>
    <w:rsid w:val="002A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ja.gov/programdetails.aspx?program_id=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Smith</dc:creator>
  <cp:keywords/>
  <dc:description/>
  <cp:lastModifiedBy>Mia Smith</cp:lastModifiedBy>
  <cp:revision>5</cp:revision>
  <cp:lastPrinted>2019-03-20T19:15:00Z</cp:lastPrinted>
  <dcterms:created xsi:type="dcterms:W3CDTF">2019-03-25T20:29:00Z</dcterms:created>
  <dcterms:modified xsi:type="dcterms:W3CDTF">2019-03-29T02:43:00Z</dcterms:modified>
</cp:coreProperties>
</file>