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BA2" w:rsidRDefault="00201BA2" w:rsidP="00201BA2">
      <w:bookmarkStart w:id="0" w:name="_GoBack"/>
      <w:bookmarkEnd w:id="0"/>
    </w:p>
    <w:p w:rsidR="00201BA2" w:rsidRPr="00201BA2" w:rsidRDefault="00201BA2" w:rsidP="00201BA2"/>
    <w:p w:rsidR="00FA4EF0" w:rsidRPr="00FA4EF0" w:rsidRDefault="00FA4EF0" w:rsidP="00FA4EF0">
      <w:pPr>
        <w:autoSpaceDE w:val="0"/>
        <w:autoSpaceDN w:val="0"/>
        <w:adjustRightInd w:val="0"/>
        <w:spacing w:after="0"/>
        <w:jc w:val="center"/>
        <w:rPr>
          <w:rFonts w:asciiTheme="minorHAnsi" w:hAnsiTheme="minorHAnsi" w:cs="Calibri Light"/>
          <w:sz w:val="22"/>
        </w:rPr>
      </w:pPr>
      <w:r w:rsidRPr="00FA4EF0">
        <w:rPr>
          <w:rFonts w:asciiTheme="minorHAnsi" w:hAnsiTheme="minorHAnsi" w:cs="Calibri Light"/>
          <w:sz w:val="22"/>
        </w:rPr>
        <w:t>At the direction of the Funding Committee under the Council of Accountability Court Judges (CACJ) the Criminal Justice Coordinating Council (CJCC) is pleased to announce that it is seeking applications for competitive funding for qualified new and existing Accountability Courts in the State of Georgia.</w:t>
      </w:r>
    </w:p>
    <w:p w:rsidR="00FA4EF0" w:rsidRPr="00FA4EF0" w:rsidRDefault="00FA4EF0" w:rsidP="00FA4EF0">
      <w:pPr>
        <w:autoSpaceDE w:val="0"/>
        <w:autoSpaceDN w:val="0"/>
        <w:adjustRightInd w:val="0"/>
        <w:spacing w:after="0"/>
        <w:ind w:left="114"/>
        <w:jc w:val="center"/>
        <w:rPr>
          <w:rFonts w:asciiTheme="minorHAnsi" w:hAnsiTheme="minorHAnsi" w:cs="Calibri Light"/>
          <w:sz w:val="22"/>
        </w:rPr>
      </w:pP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36"/>
          <w:szCs w:val="22"/>
          <w:u w:val="single"/>
        </w:rPr>
      </w:pPr>
      <w:r w:rsidRPr="00FA4EF0">
        <w:rPr>
          <w:rFonts w:asciiTheme="minorHAnsi" w:eastAsia="Times New Roman" w:hAnsiTheme="minorHAnsi" w:cs="Times New Roman"/>
          <w:color w:val="auto"/>
          <w:spacing w:val="-10"/>
          <w:kern w:val="28"/>
          <w:sz w:val="36"/>
          <w:szCs w:val="22"/>
          <w:u w:val="single"/>
        </w:rPr>
        <w:t xml:space="preserve">State of Georgia </w:t>
      </w: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36"/>
          <w:szCs w:val="22"/>
          <w:u w:val="single"/>
        </w:rPr>
      </w:pPr>
      <w:r w:rsidRPr="00FA4EF0">
        <w:rPr>
          <w:rFonts w:asciiTheme="minorHAnsi" w:eastAsia="Times New Roman" w:hAnsiTheme="minorHAnsi" w:cs="Times New Roman"/>
          <w:color w:val="auto"/>
          <w:spacing w:val="-10"/>
          <w:kern w:val="28"/>
          <w:sz w:val="36"/>
          <w:szCs w:val="22"/>
          <w:u w:val="single"/>
        </w:rPr>
        <w:t xml:space="preserve">Accountability Court Funding Program </w:t>
      </w: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36"/>
          <w:szCs w:val="22"/>
          <w:u w:val="single"/>
        </w:rPr>
      </w:pPr>
      <w:r w:rsidRPr="00FA4EF0">
        <w:rPr>
          <w:rFonts w:asciiTheme="minorHAnsi" w:eastAsia="Times New Roman" w:hAnsiTheme="minorHAnsi" w:cs="Times New Roman"/>
          <w:color w:val="auto"/>
          <w:spacing w:val="-10"/>
          <w:kern w:val="28"/>
          <w:sz w:val="36"/>
          <w:szCs w:val="22"/>
          <w:u w:val="single"/>
        </w:rPr>
        <w:t xml:space="preserve">FY’20 Solicitation Packet </w:t>
      </w:r>
    </w:p>
    <w:p w:rsidR="00FA4EF0" w:rsidRPr="00FA4EF0" w:rsidRDefault="00FA4EF0" w:rsidP="00FA4EF0">
      <w:pPr>
        <w:widowControl w:val="0"/>
        <w:spacing w:before="120" w:after="120"/>
        <w:outlineLvl w:val="0"/>
        <w:rPr>
          <w:rFonts w:asciiTheme="minorHAnsi" w:eastAsia="Times New Roman" w:hAnsiTheme="minorHAnsi" w:cs="Times New Roman"/>
          <w:b/>
          <w:color w:val="auto"/>
          <w:sz w:val="22"/>
          <w:szCs w:val="22"/>
          <w:u w:val="single"/>
        </w:rPr>
      </w:pPr>
    </w:p>
    <w:p w:rsidR="00FA4EF0" w:rsidRPr="00FA4EF0" w:rsidRDefault="00FA4EF0" w:rsidP="00FA4EF0">
      <w:pPr>
        <w:widowControl w:val="0"/>
        <w:spacing w:before="120" w:after="120"/>
        <w:jc w:val="center"/>
        <w:outlineLvl w:val="0"/>
        <w:rPr>
          <w:rFonts w:asciiTheme="minorHAnsi" w:eastAsia="Times New Roman" w:hAnsiTheme="minorHAnsi" w:cs="Times New Roman"/>
          <w:b/>
          <w:color w:val="auto"/>
          <w:sz w:val="22"/>
          <w:szCs w:val="22"/>
          <w:u w:val="single"/>
        </w:rPr>
      </w:pPr>
      <w:r w:rsidRPr="00FA4EF0">
        <w:rPr>
          <w:rFonts w:asciiTheme="minorHAnsi" w:eastAsia="Times New Roman" w:hAnsiTheme="minorHAnsi" w:cs="Times New Roman"/>
          <w:b/>
          <w:color w:val="auto"/>
          <w:sz w:val="22"/>
          <w:szCs w:val="22"/>
          <w:u w:val="single"/>
        </w:rPr>
        <w:t>Eligibility</w:t>
      </w:r>
    </w:p>
    <w:p w:rsidR="00FA4EF0" w:rsidRPr="00FA4EF0" w:rsidRDefault="00FA4EF0" w:rsidP="00FA4EF0">
      <w:pPr>
        <w:autoSpaceDE w:val="0"/>
        <w:autoSpaceDN w:val="0"/>
        <w:adjustRightInd w:val="0"/>
        <w:spacing w:after="0"/>
        <w:ind w:left="114"/>
        <w:jc w:val="center"/>
        <w:rPr>
          <w:rFonts w:asciiTheme="minorHAnsi" w:hAnsiTheme="minorHAnsi" w:cs="Calibri Light"/>
          <w:sz w:val="22"/>
        </w:rPr>
      </w:pPr>
      <w:r w:rsidRPr="00FA4EF0">
        <w:rPr>
          <w:rFonts w:asciiTheme="minorHAnsi" w:hAnsiTheme="minorHAnsi" w:cs="Calibri Light"/>
          <w:sz w:val="22"/>
        </w:rPr>
        <w:t>Applicants are limited to local entities for new and existing Accountability Courts.  Adult Felony Drug Court, Adult Mental Health Court, and Veterans Treatment Court submissions are limited to one application per circuit, per court type.  State and Juvenile Court submissions are limited to one application per county, per court type (i.e. DUI, Family Dependency Treatment, Juvenile Drug, or Juvenile Mental Health Court).</w:t>
      </w:r>
    </w:p>
    <w:p w:rsidR="00FA4EF0" w:rsidRPr="00FA4EF0" w:rsidRDefault="00FA4EF0" w:rsidP="00FA4EF0">
      <w:pPr>
        <w:autoSpaceDE w:val="0"/>
        <w:autoSpaceDN w:val="0"/>
        <w:adjustRightInd w:val="0"/>
        <w:spacing w:after="0"/>
        <w:ind w:left="114"/>
        <w:rPr>
          <w:rFonts w:asciiTheme="minorHAnsi" w:hAnsiTheme="minorHAnsi" w:cs="Calibri Light"/>
          <w:sz w:val="22"/>
        </w:rPr>
      </w:pPr>
    </w:p>
    <w:p w:rsidR="00FA4EF0" w:rsidRPr="00FA4EF0" w:rsidRDefault="00FA4EF0" w:rsidP="00FA4EF0">
      <w:pPr>
        <w:widowControl w:val="0"/>
        <w:spacing w:before="120" w:after="120"/>
        <w:jc w:val="center"/>
        <w:outlineLvl w:val="0"/>
        <w:rPr>
          <w:rFonts w:asciiTheme="minorHAnsi" w:eastAsia="Times New Roman" w:hAnsiTheme="minorHAnsi" w:cs="Times New Roman"/>
          <w:color w:val="auto"/>
          <w:sz w:val="22"/>
          <w:szCs w:val="22"/>
          <w:u w:val="single"/>
        </w:rPr>
      </w:pPr>
      <w:r w:rsidRPr="00FA4EF0">
        <w:rPr>
          <w:rFonts w:asciiTheme="minorHAnsi" w:eastAsia="Times New Roman" w:hAnsiTheme="minorHAnsi" w:cs="Times New Roman"/>
          <w:b/>
          <w:color w:val="auto"/>
          <w:sz w:val="22"/>
          <w:szCs w:val="22"/>
          <w:u w:val="single"/>
        </w:rPr>
        <w:t>Deadline</w:t>
      </w:r>
    </w:p>
    <w:p w:rsidR="00FA4EF0" w:rsidRPr="00FA4EF0" w:rsidRDefault="00FA4EF0" w:rsidP="00FA4EF0">
      <w:pPr>
        <w:autoSpaceDE w:val="0"/>
        <w:autoSpaceDN w:val="0"/>
        <w:adjustRightInd w:val="0"/>
        <w:spacing w:after="0"/>
        <w:ind w:left="114"/>
        <w:jc w:val="center"/>
        <w:rPr>
          <w:rFonts w:asciiTheme="minorHAnsi" w:hAnsiTheme="minorHAnsi" w:cs="Calibri Light"/>
          <w:sz w:val="22"/>
        </w:rPr>
      </w:pPr>
      <w:r w:rsidRPr="00FA4EF0">
        <w:rPr>
          <w:rFonts w:asciiTheme="minorHAnsi" w:hAnsiTheme="minorHAnsi" w:cs="Calibri Light"/>
          <w:sz w:val="22"/>
        </w:rPr>
        <w:t>Applications are due by 5:00 p.m. on Friday, March 22, 2019.</w:t>
      </w:r>
    </w:p>
    <w:p w:rsidR="00FA4EF0" w:rsidRPr="00FA4EF0" w:rsidRDefault="00FA4EF0" w:rsidP="00FA4EF0">
      <w:pPr>
        <w:autoSpaceDE w:val="0"/>
        <w:autoSpaceDN w:val="0"/>
        <w:adjustRightInd w:val="0"/>
        <w:spacing w:after="0"/>
        <w:ind w:left="114"/>
        <w:rPr>
          <w:rFonts w:asciiTheme="minorHAnsi" w:hAnsiTheme="minorHAnsi" w:cs="Calibri Light"/>
          <w:sz w:val="22"/>
        </w:rPr>
      </w:pPr>
    </w:p>
    <w:p w:rsidR="00FA4EF0" w:rsidRPr="00FA4EF0" w:rsidRDefault="00FA4EF0" w:rsidP="00FA4EF0">
      <w:pPr>
        <w:widowControl w:val="0"/>
        <w:spacing w:before="120" w:after="120"/>
        <w:jc w:val="center"/>
        <w:outlineLvl w:val="0"/>
        <w:rPr>
          <w:rFonts w:asciiTheme="minorHAnsi" w:eastAsia="Times New Roman" w:hAnsiTheme="minorHAnsi" w:cs="Times New Roman"/>
          <w:b/>
          <w:color w:val="auto"/>
          <w:sz w:val="22"/>
          <w:szCs w:val="22"/>
          <w:u w:val="single"/>
        </w:rPr>
      </w:pPr>
      <w:r w:rsidRPr="00FA4EF0">
        <w:rPr>
          <w:rFonts w:asciiTheme="minorHAnsi" w:eastAsia="Times New Roman" w:hAnsiTheme="minorHAnsi" w:cs="Times New Roman"/>
          <w:b/>
          <w:color w:val="auto"/>
          <w:sz w:val="22"/>
          <w:szCs w:val="22"/>
          <w:u w:val="single"/>
        </w:rPr>
        <w:t>Available Funding</w:t>
      </w:r>
    </w:p>
    <w:p w:rsidR="00FA4EF0" w:rsidRPr="00FA4EF0" w:rsidRDefault="00FA4EF0" w:rsidP="00FA4EF0">
      <w:pPr>
        <w:autoSpaceDE w:val="0"/>
        <w:autoSpaceDN w:val="0"/>
        <w:adjustRightInd w:val="0"/>
        <w:spacing w:after="0"/>
        <w:ind w:left="114"/>
        <w:jc w:val="center"/>
        <w:rPr>
          <w:rFonts w:asciiTheme="minorHAnsi" w:hAnsiTheme="minorHAnsi" w:cs="Calibri Light"/>
          <w:i/>
          <w:sz w:val="22"/>
        </w:rPr>
      </w:pPr>
      <w:r w:rsidRPr="00FA4EF0">
        <w:rPr>
          <w:rFonts w:asciiTheme="minorHAnsi" w:hAnsiTheme="minorHAnsi" w:cs="Calibri Light"/>
          <w:sz w:val="22"/>
        </w:rPr>
        <w:t>The amount available for distribution will be determined by the legislature during the 2019 session.  There is a 10% cash match requirement.  Please</w:t>
      </w:r>
      <w:r w:rsidRPr="00FA4EF0">
        <w:rPr>
          <w:rFonts w:asciiTheme="minorHAnsi" w:hAnsiTheme="minorHAnsi" w:cs="Calibri Light"/>
          <w:i/>
          <w:sz w:val="22"/>
        </w:rPr>
        <w:t xml:space="preserve"> note: this match may likely increase every year.</w:t>
      </w:r>
    </w:p>
    <w:p w:rsidR="00FA4EF0" w:rsidRPr="00FA4EF0" w:rsidRDefault="00FA4EF0" w:rsidP="00FA4EF0">
      <w:pPr>
        <w:autoSpaceDE w:val="0"/>
        <w:autoSpaceDN w:val="0"/>
        <w:adjustRightInd w:val="0"/>
        <w:spacing w:after="0"/>
        <w:ind w:left="114"/>
        <w:rPr>
          <w:rFonts w:asciiTheme="minorHAnsi" w:hAnsiTheme="minorHAnsi" w:cs="Calibri Light"/>
          <w:i/>
          <w:sz w:val="22"/>
        </w:rPr>
      </w:pPr>
    </w:p>
    <w:p w:rsidR="00FA4EF0" w:rsidRPr="00FA4EF0" w:rsidRDefault="00FA4EF0" w:rsidP="00FA4EF0">
      <w:pPr>
        <w:widowControl w:val="0"/>
        <w:spacing w:before="120" w:after="120"/>
        <w:jc w:val="center"/>
        <w:outlineLvl w:val="0"/>
        <w:rPr>
          <w:rFonts w:asciiTheme="minorHAnsi" w:eastAsia="Times New Roman" w:hAnsiTheme="minorHAnsi" w:cs="Times New Roman"/>
          <w:b/>
          <w:color w:val="auto"/>
          <w:sz w:val="22"/>
          <w:szCs w:val="22"/>
          <w:u w:val="single"/>
        </w:rPr>
      </w:pPr>
      <w:r w:rsidRPr="00FA4EF0">
        <w:rPr>
          <w:rFonts w:asciiTheme="minorHAnsi" w:eastAsia="Times New Roman" w:hAnsiTheme="minorHAnsi" w:cs="Times New Roman"/>
          <w:b/>
          <w:color w:val="auto"/>
          <w:sz w:val="22"/>
          <w:szCs w:val="22"/>
          <w:u w:val="single"/>
        </w:rPr>
        <w:t>Award Period</w:t>
      </w:r>
    </w:p>
    <w:p w:rsidR="00FA4EF0" w:rsidRPr="00FA4EF0" w:rsidRDefault="00FA4EF0" w:rsidP="00FA4EF0">
      <w:pPr>
        <w:autoSpaceDE w:val="0"/>
        <w:autoSpaceDN w:val="0"/>
        <w:adjustRightInd w:val="0"/>
        <w:spacing w:after="0"/>
        <w:ind w:left="114"/>
        <w:jc w:val="center"/>
        <w:rPr>
          <w:rFonts w:asciiTheme="minorHAnsi" w:hAnsiTheme="minorHAnsi" w:cs="Calibri Light"/>
          <w:sz w:val="22"/>
        </w:rPr>
      </w:pPr>
      <w:r w:rsidRPr="00FA4EF0">
        <w:rPr>
          <w:rFonts w:asciiTheme="minorHAnsi" w:hAnsiTheme="minorHAnsi" w:cs="Calibri Light"/>
          <w:sz w:val="22"/>
        </w:rPr>
        <w:t>July 1, 2019 through June 30, 2020.</w:t>
      </w:r>
    </w:p>
    <w:p w:rsidR="00FA4EF0" w:rsidRPr="00FA4EF0" w:rsidRDefault="00FA4EF0" w:rsidP="00FA4EF0">
      <w:pPr>
        <w:autoSpaceDE w:val="0"/>
        <w:autoSpaceDN w:val="0"/>
        <w:adjustRightInd w:val="0"/>
        <w:spacing w:after="0"/>
        <w:ind w:left="114"/>
        <w:jc w:val="center"/>
        <w:rPr>
          <w:rFonts w:asciiTheme="minorHAnsi" w:hAnsiTheme="minorHAnsi" w:cs="Calibri Light"/>
          <w:sz w:val="22"/>
        </w:rPr>
      </w:pP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22"/>
          <w:szCs w:val="22"/>
          <w:u w:val="single"/>
        </w:rPr>
      </w:pPr>
      <w:r w:rsidRPr="00FA4EF0">
        <w:rPr>
          <w:rFonts w:asciiTheme="minorHAnsi" w:eastAsia="Times New Roman" w:hAnsiTheme="minorHAnsi" w:cs="Times New Roman"/>
          <w:color w:val="auto"/>
          <w:spacing w:val="-10"/>
          <w:kern w:val="28"/>
          <w:sz w:val="22"/>
          <w:szCs w:val="22"/>
          <w:u w:val="single"/>
        </w:rPr>
        <w:t>Release Date: February 18, 2019</w:t>
      </w:r>
    </w:p>
    <w:p w:rsidR="00FA4EF0" w:rsidRPr="00FA4EF0" w:rsidRDefault="00FA4EF0" w:rsidP="00FA4EF0">
      <w:pPr>
        <w:spacing w:after="3"/>
        <w:ind w:left="669" w:right="13" w:hanging="10"/>
        <w:jc w:val="center"/>
        <w:rPr>
          <w:rFonts w:asciiTheme="minorHAnsi" w:hAnsiTheme="minorHAnsi"/>
          <w:b/>
          <w:sz w:val="22"/>
          <w:szCs w:val="22"/>
        </w:rPr>
      </w:pP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22"/>
          <w:szCs w:val="22"/>
          <w:u w:val="single"/>
        </w:rPr>
      </w:pPr>
      <w:r w:rsidRPr="00FA4EF0">
        <w:rPr>
          <w:rFonts w:asciiTheme="minorHAnsi" w:eastAsia="Times New Roman" w:hAnsiTheme="minorHAnsi" w:cs="Times New Roman"/>
          <w:color w:val="auto"/>
          <w:spacing w:val="-10"/>
          <w:kern w:val="28"/>
          <w:sz w:val="22"/>
          <w:szCs w:val="22"/>
          <w:u w:val="single"/>
        </w:rPr>
        <w:t xml:space="preserve">THIS GRANT IS </w:t>
      </w:r>
      <w:r w:rsidRPr="00FA4EF0">
        <w:rPr>
          <w:rFonts w:asciiTheme="minorHAnsi" w:eastAsia="Times New Roman" w:hAnsiTheme="minorHAnsi" w:cs="Times New Roman"/>
          <w:i/>
          <w:color w:val="auto"/>
          <w:spacing w:val="-10"/>
          <w:kern w:val="28"/>
          <w:sz w:val="22"/>
          <w:szCs w:val="22"/>
          <w:u w:val="single"/>
        </w:rPr>
        <w:t>NOT</w:t>
      </w:r>
      <w:r w:rsidRPr="00FA4EF0">
        <w:rPr>
          <w:rFonts w:asciiTheme="minorHAnsi" w:eastAsia="Times New Roman" w:hAnsiTheme="minorHAnsi" w:cs="Times New Roman"/>
          <w:color w:val="auto"/>
          <w:spacing w:val="-10"/>
          <w:kern w:val="28"/>
          <w:sz w:val="22"/>
          <w:szCs w:val="22"/>
          <w:u w:val="single"/>
        </w:rPr>
        <w:t xml:space="preserve"> INTENDED TO FUND YOUR PROGRAM 100%.</w:t>
      </w: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22"/>
          <w:szCs w:val="22"/>
          <w:u w:val="single"/>
        </w:rPr>
      </w:pP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22"/>
          <w:szCs w:val="22"/>
          <w:u w:val="single"/>
        </w:rPr>
      </w:pP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22"/>
          <w:szCs w:val="22"/>
          <w:u w:val="single"/>
        </w:rPr>
      </w:pP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22"/>
          <w:szCs w:val="22"/>
          <w:u w:val="single"/>
        </w:rPr>
      </w:pP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22"/>
          <w:szCs w:val="22"/>
          <w:u w:val="single"/>
        </w:rPr>
      </w:pP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22"/>
          <w:szCs w:val="22"/>
          <w:u w:val="single"/>
        </w:rPr>
      </w:pP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22"/>
          <w:szCs w:val="22"/>
          <w:u w:val="single"/>
        </w:rPr>
      </w:pP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36"/>
          <w:szCs w:val="22"/>
          <w:u w:val="single"/>
        </w:rPr>
      </w:pPr>
      <w:r w:rsidRPr="00FA4EF0">
        <w:rPr>
          <w:rFonts w:asciiTheme="minorHAnsi" w:eastAsia="Times New Roman" w:hAnsiTheme="minorHAnsi" w:cs="Times New Roman"/>
          <w:color w:val="auto"/>
          <w:spacing w:val="-10"/>
          <w:kern w:val="28"/>
          <w:sz w:val="36"/>
          <w:szCs w:val="22"/>
          <w:u w:val="single"/>
        </w:rPr>
        <w:t xml:space="preserve">State of Georgia </w:t>
      </w: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36"/>
          <w:szCs w:val="22"/>
          <w:u w:val="single"/>
        </w:rPr>
      </w:pPr>
      <w:r w:rsidRPr="00FA4EF0">
        <w:rPr>
          <w:rFonts w:asciiTheme="minorHAnsi" w:eastAsia="Times New Roman" w:hAnsiTheme="minorHAnsi" w:cs="Times New Roman"/>
          <w:color w:val="auto"/>
          <w:spacing w:val="-10"/>
          <w:kern w:val="28"/>
          <w:sz w:val="36"/>
          <w:szCs w:val="22"/>
          <w:u w:val="single"/>
        </w:rPr>
        <w:t xml:space="preserve">Accountability Court Funding Program </w:t>
      </w:r>
    </w:p>
    <w:p w:rsidR="00FA4EF0" w:rsidRPr="00FA4EF0" w:rsidRDefault="00FA4EF0" w:rsidP="00FA4EF0">
      <w:pPr>
        <w:spacing w:after="0"/>
        <w:contextualSpacing/>
        <w:jc w:val="center"/>
        <w:rPr>
          <w:rFonts w:asciiTheme="minorHAnsi" w:eastAsia="Times New Roman" w:hAnsiTheme="minorHAnsi" w:cs="Times New Roman"/>
          <w:color w:val="auto"/>
          <w:spacing w:val="-10"/>
          <w:kern w:val="28"/>
          <w:sz w:val="36"/>
          <w:szCs w:val="22"/>
          <w:u w:val="single"/>
        </w:rPr>
      </w:pPr>
      <w:r w:rsidRPr="00FA4EF0">
        <w:rPr>
          <w:rFonts w:asciiTheme="minorHAnsi" w:eastAsia="Times New Roman" w:hAnsiTheme="minorHAnsi" w:cs="Times New Roman"/>
          <w:color w:val="auto"/>
          <w:spacing w:val="-10"/>
          <w:kern w:val="28"/>
          <w:sz w:val="36"/>
          <w:szCs w:val="22"/>
          <w:u w:val="single"/>
        </w:rPr>
        <w:t xml:space="preserve">FY’20 Solicitation Packet </w:t>
      </w:r>
    </w:p>
    <w:p w:rsidR="00FA4EF0" w:rsidRPr="00FA4EF0" w:rsidRDefault="00FA4EF0" w:rsidP="00FA4EF0">
      <w:pPr>
        <w:widowControl w:val="0"/>
        <w:spacing w:before="120" w:after="120"/>
        <w:outlineLvl w:val="0"/>
        <w:rPr>
          <w:rFonts w:asciiTheme="minorHAnsi" w:eastAsia="Times New Roman" w:hAnsiTheme="minorHAnsi" w:cs="Times New Roman"/>
          <w:b/>
          <w:color w:val="auto"/>
          <w:sz w:val="22"/>
          <w:szCs w:val="22"/>
          <w:u w:val="single"/>
        </w:rPr>
      </w:pPr>
    </w:p>
    <w:p w:rsidR="00FA4EF0" w:rsidRPr="00FA4EF0" w:rsidRDefault="00FA4EF0" w:rsidP="00FA4EF0">
      <w:pPr>
        <w:widowControl w:val="0"/>
        <w:spacing w:before="120" w:after="120"/>
        <w:jc w:val="both"/>
        <w:outlineLvl w:val="0"/>
        <w:rPr>
          <w:rFonts w:asciiTheme="minorHAnsi" w:eastAsia="Times New Roman" w:hAnsiTheme="minorHAnsi" w:cs="Times New Roman"/>
          <w:b/>
          <w:color w:val="auto"/>
          <w:sz w:val="22"/>
          <w:szCs w:val="22"/>
          <w:u w:val="single"/>
        </w:rPr>
      </w:pPr>
      <w:r w:rsidRPr="00FA4EF0">
        <w:rPr>
          <w:rFonts w:asciiTheme="minorHAnsi" w:eastAsia="Times New Roman" w:hAnsiTheme="minorHAnsi" w:cs="Times New Roman"/>
          <w:b/>
          <w:color w:val="auto"/>
          <w:sz w:val="22"/>
          <w:szCs w:val="22"/>
          <w:u w:val="single"/>
        </w:rPr>
        <w:t xml:space="preserve">SECTION I: OVERVIEW AND INSTRUCTIONS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color="000000"/>
        </w:rPr>
        <w:t>Criminal Justice Coordinating Council</w:t>
      </w:r>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The Criminal Justice Coordinating Council is designated by the Governor of Georgia as the State Administering Agency for criminal justice and victims’ assistance programs. Created by the General Assembly (O.C.G.A. § 35-6A-2), the Council is comprised of twenty-four members representing various components of the criminal justice system.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color="000000"/>
        </w:rPr>
      </w:pP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color="000000"/>
        </w:rPr>
        <w:t>Overview of the State of Georgia’s Accountability Court Funding Program</w:t>
      </w:r>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The Council of Accountability Court of Judge (CACJ) was created in 2015 by the Georgia Legislature and by Governor Nathan Deal to provide courts with the critical funding necessary to support the growth of Accountability Courts in Georgia to reduce the prison population.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color="000000"/>
        </w:rPr>
      </w:pP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color="000000"/>
        </w:rPr>
        <w:t>How to Apply</w:t>
      </w:r>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autoSpaceDE w:val="0"/>
        <w:autoSpaceDN w:val="0"/>
        <w:adjustRightInd w:val="0"/>
        <w:spacing w:after="0"/>
        <w:jc w:val="both"/>
        <w:rPr>
          <w:rFonts w:asciiTheme="minorHAnsi" w:hAnsiTheme="minorHAnsi" w:cs="Calibri Light"/>
          <w:b/>
          <w:sz w:val="22"/>
        </w:rPr>
      </w:pPr>
      <w:r w:rsidRPr="00FA4EF0">
        <w:rPr>
          <w:rFonts w:asciiTheme="minorHAnsi" w:hAnsiTheme="minorHAnsi" w:cs="Calibri Light"/>
          <w:sz w:val="22"/>
        </w:rPr>
        <w:t>Interested applicants should review the FY’20 Solicitation Packet in its entirety, and submit the completed application, including the requested information and all required attachments, using the link provided to the court by CJCC</w:t>
      </w:r>
      <w:hyperlink r:id="rId8">
        <w:r w:rsidRPr="00FA4EF0">
          <w:rPr>
            <w:rFonts w:asciiTheme="minorHAnsi" w:hAnsiTheme="minorHAnsi" w:cs="Calibri Light"/>
            <w:sz w:val="22"/>
          </w:rPr>
          <w:t xml:space="preserve"> </w:t>
        </w:r>
      </w:hyperlink>
      <w:r w:rsidRPr="00FA4EF0">
        <w:rPr>
          <w:rFonts w:asciiTheme="minorHAnsi" w:hAnsiTheme="minorHAnsi" w:cs="Calibri Light"/>
          <w:sz w:val="22"/>
        </w:rPr>
        <w:t xml:space="preserve">on or before 5 p.m., March 22, 2010. </w:t>
      </w:r>
      <w:r w:rsidRPr="00FA4EF0">
        <w:rPr>
          <w:rFonts w:asciiTheme="minorHAnsi" w:hAnsiTheme="minorHAnsi" w:cs="Calibri Light"/>
          <w:b/>
          <w:sz w:val="22"/>
        </w:rPr>
        <w:t xml:space="preserve">The application is the only acceptable format for submitting the narratives and budget for this funding year. It is recommended that applicants allow adequate time to complete the application. Applications must be submitted using the required format; </w:t>
      </w:r>
      <w:r w:rsidRPr="00FA4EF0">
        <w:rPr>
          <w:rFonts w:asciiTheme="minorHAnsi" w:hAnsiTheme="minorHAnsi" w:cs="Calibri Light"/>
          <w:b/>
          <w:sz w:val="22"/>
          <w:u w:val="single"/>
        </w:rPr>
        <w:t>scanned or handwritten copies of the application will not be accepted</w:t>
      </w:r>
      <w:r w:rsidRPr="00FA4EF0">
        <w:rPr>
          <w:rFonts w:asciiTheme="minorHAnsi" w:hAnsiTheme="minorHAnsi" w:cs="Calibri Light"/>
          <w:b/>
          <w:sz w:val="22"/>
        </w:rPr>
        <w:t xml:space="preserve">.  The CACJ will host an FY’20 instructional grant webinar on Friday, March 1, 2019; interested applicants are encouraged to participate. </w:t>
      </w:r>
      <w:r w:rsidRPr="00FA4EF0">
        <w:rPr>
          <w:rFonts w:asciiTheme="minorHAnsi" w:hAnsiTheme="minorHAnsi" w:cs="Calibri Light"/>
          <w:sz w:val="22"/>
        </w:rPr>
        <w:t>Any application that does not adequately answer all applicable questions will be considered incomplete and will not be reviewed for funding</w:t>
      </w:r>
      <w:r w:rsidRPr="00FA4EF0">
        <w:rPr>
          <w:rFonts w:asciiTheme="minorHAnsi" w:hAnsiTheme="minorHAnsi" w:cs="Calibri Light"/>
          <w:i/>
          <w:sz w:val="22"/>
        </w:rPr>
        <w:t>.</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rPr>
        <w:t>Match Requirement (10 percent CASH match)</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Applicants must identify the source of the 10 percent non-state portion of the total project costs and how they will use match funds. Match is restricted to the same uses of funds as allowed for the state funds. Applicants may satisfy this match requirement with cash only (no in-kind services). </w:t>
      </w:r>
    </w:p>
    <w:p w:rsidR="00FA4EF0" w:rsidRPr="00FA4EF0" w:rsidRDefault="00FA4EF0" w:rsidP="00FA4EF0">
      <w:pPr>
        <w:autoSpaceDE w:val="0"/>
        <w:autoSpaceDN w:val="0"/>
        <w:adjustRightInd w:val="0"/>
        <w:spacing w:after="0"/>
        <w:jc w:val="both"/>
        <w:rPr>
          <w:rFonts w:asciiTheme="minorHAnsi" w:hAnsiTheme="minorHAnsi" w:cs="Calibri Light"/>
          <w:i/>
          <w:sz w:val="22"/>
        </w:rPr>
      </w:pPr>
      <w:r w:rsidRPr="00FA4EF0">
        <w:rPr>
          <w:rFonts w:asciiTheme="minorHAnsi" w:hAnsiTheme="minorHAnsi" w:cs="Calibri Light"/>
          <w:i/>
          <w:sz w:val="22"/>
        </w:rPr>
        <w:t>Match Waiver:</w:t>
      </w:r>
      <w:r w:rsidRPr="00FA4EF0">
        <w:rPr>
          <w:rFonts w:asciiTheme="minorHAnsi" w:hAnsiTheme="minorHAnsi" w:cs="Calibri Light"/>
          <w:sz w:val="22"/>
        </w:rPr>
        <w:t xml:space="preserve"> The CACJ may waive the match requirement upon a determination of fiscal hardship. </w:t>
      </w:r>
      <w:r w:rsidRPr="00FA4EF0">
        <w:rPr>
          <w:rFonts w:asciiTheme="minorHAnsi" w:hAnsiTheme="minorHAnsi" w:cs="Calibri Light"/>
          <w:b/>
          <w:sz w:val="22"/>
        </w:rPr>
        <w:t>To be considered for a waiver of match, a letter of request signed by the Authorized Representative or Program Judge must be submitted with the grant application defining the fiscal hardship</w:t>
      </w:r>
      <w:r w:rsidRPr="00FA4EF0">
        <w:rPr>
          <w:rFonts w:asciiTheme="minorHAnsi" w:hAnsiTheme="minorHAnsi" w:cs="Calibri Light"/>
          <w:sz w:val="22"/>
        </w:rPr>
        <w:t>. Fiscal hardship is defined in terms related to reductions in overall budgets, furloughing or reductions in force of staff or other similar documented actions by the local governing authority which have resulted in severe budget reductions. A match waiver request must be submitted as a separate attachment to the application and titled as the “</w:t>
      </w:r>
      <w:r w:rsidRPr="00FA4EF0">
        <w:rPr>
          <w:rFonts w:asciiTheme="minorHAnsi" w:hAnsiTheme="minorHAnsi" w:cs="Calibri Light"/>
          <w:i/>
          <w:sz w:val="22"/>
        </w:rPr>
        <w:t xml:space="preserve">Match Waiver.”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NOTE:  You do </w:t>
      </w:r>
      <w:r w:rsidRPr="00FA4EF0">
        <w:rPr>
          <w:rFonts w:asciiTheme="minorHAnsi" w:hAnsiTheme="minorHAnsi" w:cs="Calibri Light"/>
          <w:b/>
          <w:sz w:val="22"/>
        </w:rPr>
        <w:t>NOT</w:t>
      </w:r>
      <w:r w:rsidRPr="00FA4EF0">
        <w:rPr>
          <w:rFonts w:asciiTheme="minorHAnsi" w:hAnsiTheme="minorHAnsi" w:cs="Calibri Light"/>
          <w:sz w:val="22"/>
        </w:rPr>
        <w:t xml:space="preserve"> need to match every item you are requesting but must supply a 10% match in the overall budget request.  The match must be from one of the allowable categories.</w:t>
      </w:r>
    </w:p>
    <w:p w:rsidR="00FA4EF0" w:rsidRPr="00FA4EF0" w:rsidRDefault="00FA4EF0" w:rsidP="00FA4EF0">
      <w:pPr>
        <w:autoSpaceDE w:val="0"/>
        <w:autoSpaceDN w:val="0"/>
        <w:adjustRightInd w:val="0"/>
        <w:spacing w:after="0"/>
        <w:ind w:left="114"/>
        <w:jc w:val="both"/>
        <w:rPr>
          <w:rFonts w:asciiTheme="minorHAnsi" w:hAnsiTheme="minorHAnsi" w:cs="Calibri Light"/>
          <w:sz w:val="22"/>
        </w:rPr>
      </w:pPr>
    </w:p>
    <w:p w:rsidR="00FA4EF0" w:rsidRPr="00FA4EF0" w:rsidRDefault="00FA4EF0" w:rsidP="00FA4EF0">
      <w:pPr>
        <w:autoSpaceDE w:val="0"/>
        <w:autoSpaceDN w:val="0"/>
        <w:adjustRightInd w:val="0"/>
        <w:spacing w:after="0"/>
        <w:jc w:val="both"/>
        <w:rPr>
          <w:rFonts w:asciiTheme="minorHAnsi" w:hAnsiTheme="minorHAnsi" w:cs="Calibri Light"/>
          <w:b/>
          <w:i/>
          <w:sz w:val="22"/>
        </w:rPr>
      </w:pPr>
      <w:r w:rsidRPr="00FA4EF0">
        <w:rPr>
          <w:rFonts w:asciiTheme="minorHAnsi" w:hAnsiTheme="minorHAnsi" w:cs="Calibri Light"/>
          <w:b/>
          <w:sz w:val="22"/>
        </w:rPr>
        <w:t xml:space="preserve">The formula for calculating the match is: </w:t>
      </w:r>
      <w:r w:rsidRPr="00FA4EF0">
        <w:rPr>
          <w:rFonts w:asciiTheme="minorHAnsi" w:hAnsiTheme="minorHAnsi" w:cs="Calibri Light"/>
          <w:b/>
          <w:i/>
          <w:sz w:val="22"/>
        </w:rPr>
        <w:t>Requested Grant Amount divided by 9 = Required Match</w:t>
      </w:r>
    </w:p>
    <w:p w:rsidR="00FA4EF0" w:rsidRPr="00FA4EF0" w:rsidRDefault="00FA4EF0" w:rsidP="00FA4EF0">
      <w:pPr>
        <w:autoSpaceDE w:val="0"/>
        <w:autoSpaceDN w:val="0"/>
        <w:adjustRightInd w:val="0"/>
        <w:spacing w:after="0"/>
        <w:jc w:val="both"/>
        <w:rPr>
          <w:rFonts w:asciiTheme="minorHAnsi" w:hAnsiTheme="minorHAnsi" w:cs="Calibri Light"/>
          <w:b/>
          <w:sz w:val="22"/>
        </w:rPr>
      </w:pPr>
      <w:r w:rsidRPr="00FA4EF0">
        <w:rPr>
          <w:rFonts w:asciiTheme="minorHAnsi" w:hAnsiTheme="minorHAnsi" w:cs="Calibri Light"/>
          <w:b/>
          <w:sz w:val="22"/>
        </w:rPr>
        <w:t>Example:</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lastRenderedPageBreak/>
        <w:t>10 percent match requirement: for a state award amount of $100,000, match would be calculated as follows:</w:t>
      </w:r>
    </w:p>
    <w:p w:rsidR="00FA4EF0" w:rsidRPr="00FA4EF0" w:rsidRDefault="00FA4EF0" w:rsidP="00FA4EF0">
      <w:pPr>
        <w:autoSpaceDE w:val="0"/>
        <w:autoSpaceDN w:val="0"/>
        <w:adjustRightInd w:val="0"/>
        <w:spacing w:after="0"/>
        <w:ind w:left="1440"/>
        <w:jc w:val="both"/>
        <w:rPr>
          <w:rFonts w:asciiTheme="minorHAnsi" w:hAnsiTheme="minorHAnsi" w:cs="Calibri Light"/>
          <w:sz w:val="22"/>
        </w:rPr>
      </w:pPr>
      <w:r w:rsidRPr="00FA4EF0">
        <w:rPr>
          <w:rFonts w:asciiTheme="minorHAnsi" w:hAnsiTheme="minorHAnsi" w:cs="Calibri Light"/>
          <w:sz w:val="22"/>
        </w:rPr>
        <w:t xml:space="preserve">State Award/9 = Match </w:t>
      </w:r>
    </w:p>
    <w:p w:rsidR="00FA4EF0" w:rsidRPr="00FA4EF0" w:rsidRDefault="00FA4EF0" w:rsidP="00FA4EF0">
      <w:pPr>
        <w:autoSpaceDE w:val="0"/>
        <w:autoSpaceDN w:val="0"/>
        <w:adjustRightInd w:val="0"/>
        <w:spacing w:after="0"/>
        <w:ind w:left="1440"/>
        <w:jc w:val="both"/>
        <w:rPr>
          <w:rFonts w:asciiTheme="minorHAnsi" w:hAnsiTheme="minorHAnsi" w:cs="Calibri Light"/>
          <w:sz w:val="22"/>
        </w:rPr>
      </w:pPr>
      <w:r w:rsidRPr="00FA4EF0">
        <w:rPr>
          <w:rFonts w:asciiTheme="minorHAnsi" w:hAnsiTheme="minorHAnsi" w:cs="Calibri Light"/>
          <w:sz w:val="22"/>
        </w:rPr>
        <w:t>Ex. $100,000/9 = $11,111</w:t>
      </w:r>
    </w:p>
    <w:p w:rsidR="00FA4EF0" w:rsidRPr="00FA4EF0" w:rsidRDefault="00FA4EF0" w:rsidP="00FA4EF0">
      <w:pPr>
        <w:ind w:left="1440" w:firstLine="720"/>
        <w:jc w:val="both"/>
        <w:rPr>
          <w:rFonts w:asciiTheme="minorHAnsi" w:hAnsiTheme="minorHAnsi" w:cs="Arial"/>
          <w:sz w:val="22"/>
          <w:szCs w:val="22"/>
        </w:rPr>
      </w:pPr>
      <w:r w:rsidRPr="00FA4EF0">
        <w:rPr>
          <w:rFonts w:asciiTheme="minorHAnsi" w:hAnsiTheme="minorHAnsi" w:cs="Arial"/>
          <w:sz w:val="22"/>
          <w:szCs w:val="22"/>
        </w:rPr>
        <w:t xml:space="preserve">     </w:t>
      </w:r>
    </w:p>
    <w:p w:rsidR="00FA4EF0" w:rsidRPr="00FA4EF0" w:rsidRDefault="00FA4EF0" w:rsidP="00FA4EF0">
      <w:pPr>
        <w:widowControl w:val="0"/>
        <w:spacing w:before="120" w:after="120"/>
        <w:jc w:val="both"/>
        <w:outlineLvl w:val="0"/>
        <w:rPr>
          <w:rFonts w:asciiTheme="minorHAnsi" w:eastAsia="Times New Roman" w:hAnsiTheme="minorHAnsi" w:cs="Times New Roman"/>
          <w:b/>
          <w:color w:val="auto"/>
          <w:sz w:val="22"/>
          <w:szCs w:val="22"/>
          <w:u w:val="single"/>
        </w:rPr>
      </w:pPr>
      <w:r w:rsidRPr="00FA4EF0">
        <w:rPr>
          <w:rFonts w:asciiTheme="minorHAnsi" w:eastAsia="Times New Roman" w:hAnsiTheme="minorHAnsi" w:cs="Times New Roman"/>
          <w:b/>
          <w:color w:val="auto"/>
          <w:sz w:val="22"/>
          <w:szCs w:val="22"/>
          <w:u w:val="single"/>
        </w:rPr>
        <w:t xml:space="preserve">SECTION II: SOLICITATION PROCESS </w:t>
      </w:r>
    </w:p>
    <w:p w:rsidR="00FA4EF0" w:rsidRPr="00FA4EF0" w:rsidRDefault="00FA4EF0" w:rsidP="00FA4EF0">
      <w:pPr>
        <w:jc w:val="both"/>
        <w:rPr>
          <w:rFonts w:asciiTheme="minorHAnsi" w:eastAsia="Times New Roman" w:hAnsiTheme="minorHAnsi" w:cs="Calibri"/>
          <w:color w:val="000000"/>
          <w:sz w:val="22"/>
          <w:szCs w:val="22"/>
        </w:rPr>
      </w:pPr>
      <w:r w:rsidRPr="00FA4EF0">
        <w:rPr>
          <w:rFonts w:asciiTheme="minorHAnsi" w:eastAsia="Times New Roman" w:hAnsiTheme="minorHAnsi" w:cs="Calibri"/>
          <w:color w:val="000000"/>
          <w:sz w:val="22"/>
          <w:szCs w:val="22"/>
        </w:rPr>
        <w:t xml:space="preserve">Please read and understand the Certification for Accountability Court Funding attachment before completing the application.   All accountability courts shall attend training and submit a proposed budget/narrative for all funds requested through this grant.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color="000000"/>
        </w:rPr>
        <w:t>Existing Courts</w:t>
      </w:r>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Complete all sections of the application, unless noted otherwise.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color="000000"/>
        </w:rPr>
      </w:pP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color="000000"/>
        </w:rPr>
        <w:t>Implementation Courts</w:t>
      </w:r>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jc w:val="both"/>
        <w:rPr>
          <w:rFonts w:asciiTheme="minorHAnsi" w:eastAsia="Times New Roman" w:hAnsiTheme="minorHAnsi" w:cs="Calibri"/>
          <w:strike/>
          <w:color w:val="000000"/>
          <w:sz w:val="22"/>
          <w:szCs w:val="22"/>
        </w:rPr>
      </w:pPr>
      <w:r w:rsidRPr="00FA4EF0">
        <w:rPr>
          <w:rFonts w:asciiTheme="minorHAnsi" w:eastAsia="Times New Roman" w:hAnsiTheme="minorHAnsi" w:cs="Calibri"/>
          <w:color w:val="000000"/>
          <w:sz w:val="22"/>
          <w:szCs w:val="22"/>
        </w:rPr>
        <w:t xml:space="preserve">Complete sections of the application to the best of your ability. The committee understands that you may not have all of the answers </w:t>
      </w:r>
      <w:proofErr w:type="gramStart"/>
      <w:r w:rsidRPr="00FA4EF0">
        <w:rPr>
          <w:rFonts w:asciiTheme="minorHAnsi" w:eastAsia="Times New Roman" w:hAnsiTheme="minorHAnsi" w:cs="Calibri"/>
          <w:color w:val="000000"/>
          <w:sz w:val="22"/>
          <w:szCs w:val="22"/>
        </w:rPr>
        <w:t>yet, but</w:t>
      </w:r>
      <w:proofErr w:type="gramEnd"/>
      <w:r w:rsidRPr="00FA4EF0">
        <w:rPr>
          <w:rFonts w:asciiTheme="minorHAnsi" w:eastAsia="Times New Roman" w:hAnsiTheme="minorHAnsi" w:cs="Calibri"/>
          <w:color w:val="000000"/>
          <w:sz w:val="22"/>
          <w:szCs w:val="22"/>
        </w:rPr>
        <w:t xml:space="preserve"> expects that you have thought through all of the issues related to each section of the application.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color="000000"/>
        </w:rPr>
        <w:t>Application Review</w:t>
      </w:r>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Applications will be reviewed and assessed by the CACJ Funding Committee members and its designated representatives who will consider the following: </w:t>
      </w:r>
    </w:p>
    <w:p w:rsidR="00FA4EF0" w:rsidRPr="00FA4EF0" w:rsidRDefault="00FA4EF0" w:rsidP="00FA4EF0">
      <w:pPr>
        <w:widowControl w:val="0"/>
        <w:numPr>
          <w:ilvl w:val="0"/>
          <w:numId w:val="27"/>
        </w:numPr>
        <w:spacing w:before="120" w:after="120"/>
        <w:jc w:val="both"/>
        <w:rPr>
          <w:rFonts w:asciiTheme="minorHAnsi" w:hAnsiTheme="minorHAnsi" w:cs="Calibri Light"/>
          <w:sz w:val="22"/>
        </w:rPr>
      </w:pPr>
      <w:r w:rsidRPr="00FA4EF0">
        <w:rPr>
          <w:rFonts w:asciiTheme="minorHAnsi" w:hAnsiTheme="minorHAnsi" w:cs="Calibri Light"/>
          <w:sz w:val="22"/>
        </w:rPr>
        <w:t>Past compliance with all financial and programmatic reporting requirements;</w:t>
      </w:r>
    </w:p>
    <w:p w:rsidR="00FA4EF0" w:rsidRPr="00FA4EF0" w:rsidRDefault="00FA4EF0" w:rsidP="00FA4EF0">
      <w:pPr>
        <w:widowControl w:val="0"/>
        <w:numPr>
          <w:ilvl w:val="0"/>
          <w:numId w:val="27"/>
        </w:numPr>
        <w:spacing w:before="120" w:after="120"/>
        <w:jc w:val="both"/>
        <w:rPr>
          <w:rFonts w:asciiTheme="minorHAnsi" w:hAnsiTheme="minorHAnsi" w:cs="Calibri Light"/>
          <w:sz w:val="22"/>
        </w:rPr>
      </w:pPr>
      <w:r w:rsidRPr="00FA4EF0">
        <w:rPr>
          <w:rFonts w:asciiTheme="minorHAnsi" w:hAnsiTheme="minorHAnsi" w:cs="Calibri Light"/>
          <w:sz w:val="22"/>
        </w:rPr>
        <w:t>Overall quality and completeness of the application;</w:t>
      </w:r>
    </w:p>
    <w:p w:rsidR="00FA4EF0" w:rsidRPr="00FA4EF0" w:rsidRDefault="00FA4EF0" w:rsidP="00FA4EF0">
      <w:pPr>
        <w:widowControl w:val="0"/>
        <w:numPr>
          <w:ilvl w:val="0"/>
          <w:numId w:val="27"/>
        </w:numPr>
        <w:spacing w:before="120" w:after="120"/>
        <w:jc w:val="both"/>
        <w:rPr>
          <w:rFonts w:asciiTheme="minorHAnsi" w:hAnsiTheme="minorHAnsi" w:cs="Calibri Light"/>
          <w:sz w:val="22"/>
        </w:rPr>
      </w:pPr>
      <w:r w:rsidRPr="00FA4EF0">
        <w:rPr>
          <w:rFonts w:asciiTheme="minorHAnsi" w:hAnsiTheme="minorHAnsi" w:cs="Calibri Light"/>
          <w:sz w:val="22"/>
        </w:rPr>
        <w:t>Demonstration of clear, measurable and appropriate standards;</w:t>
      </w:r>
    </w:p>
    <w:p w:rsidR="00FA4EF0" w:rsidRPr="00FA4EF0" w:rsidRDefault="00FA4EF0" w:rsidP="00FA4EF0">
      <w:pPr>
        <w:widowControl w:val="0"/>
        <w:numPr>
          <w:ilvl w:val="0"/>
          <w:numId w:val="27"/>
        </w:numPr>
        <w:spacing w:before="120" w:after="120"/>
        <w:jc w:val="both"/>
        <w:rPr>
          <w:rFonts w:asciiTheme="minorHAnsi" w:hAnsiTheme="minorHAnsi" w:cs="Calibri Light"/>
          <w:sz w:val="22"/>
        </w:rPr>
      </w:pPr>
      <w:r w:rsidRPr="00FA4EF0">
        <w:rPr>
          <w:rFonts w:asciiTheme="minorHAnsi" w:hAnsiTheme="minorHAnsi" w:cs="Calibri Light"/>
          <w:sz w:val="22"/>
        </w:rPr>
        <w:t>Demonstration of need including geographic location, local demographics, local statistics, other financial resources, etc.;</w:t>
      </w:r>
    </w:p>
    <w:p w:rsidR="00FA4EF0" w:rsidRPr="00FA4EF0" w:rsidRDefault="00FA4EF0" w:rsidP="00FA4EF0">
      <w:pPr>
        <w:widowControl w:val="0"/>
        <w:numPr>
          <w:ilvl w:val="0"/>
          <w:numId w:val="27"/>
        </w:numPr>
        <w:spacing w:before="120" w:after="120"/>
        <w:jc w:val="both"/>
        <w:rPr>
          <w:rFonts w:asciiTheme="minorHAnsi" w:hAnsiTheme="minorHAnsi" w:cs="Calibri Light"/>
          <w:sz w:val="22"/>
        </w:rPr>
      </w:pPr>
      <w:r w:rsidRPr="00FA4EF0">
        <w:rPr>
          <w:rFonts w:asciiTheme="minorHAnsi" w:hAnsiTheme="minorHAnsi" w:cs="Calibri Light"/>
          <w:sz w:val="22"/>
        </w:rPr>
        <w:t>Adequate correlation between the cost of the project and the objective(s) to be achieved; and</w:t>
      </w:r>
    </w:p>
    <w:p w:rsidR="00FA4EF0" w:rsidRPr="00FA4EF0" w:rsidRDefault="00FA4EF0" w:rsidP="00FA4EF0">
      <w:pPr>
        <w:widowControl w:val="0"/>
        <w:numPr>
          <w:ilvl w:val="0"/>
          <w:numId w:val="27"/>
        </w:numPr>
        <w:spacing w:before="120" w:after="120"/>
        <w:jc w:val="both"/>
        <w:rPr>
          <w:rFonts w:asciiTheme="minorHAnsi" w:hAnsiTheme="minorHAnsi" w:cs="Calibri Light"/>
          <w:sz w:val="22"/>
        </w:rPr>
      </w:pPr>
      <w:r w:rsidRPr="00FA4EF0">
        <w:rPr>
          <w:rFonts w:asciiTheme="minorHAnsi" w:hAnsiTheme="minorHAnsi" w:cs="Calibri Light"/>
          <w:sz w:val="22"/>
        </w:rPr>
        <w:t>Sharing resources among each accountability court within the circuit is strongly encouraged.  All applications within each circuit will be reviewed together.</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Only complete applications received by the deadline will be reviewed. </w:t>
      </w:r>
      <w:r w:rsidRPr="00FA4EF0">
        <w:rPr>
          <w:rFonts w:asciiTheme="minorHAnsi" w:hAnsiTheme="minorHAnsi" w:cs="Calibri Light"/>
          <w:b/>
          <w:sz w:val="22"/>
        </w:rPr>
        <w:t>When an application is received by the CJCC, there is no commitment on the part of the CACJ Funding Committee to fund an application or to fund it at the amount requested</w:t>
      </w:r>
      <w:r w:rsidRPr="00FA4EF0">
        <w:rPr>
          <w:rFonts w:asciiTheme="minorHAnsi" w:hAnsiTheme="minorHAnsi" w:cs="Calibri Light"/>
          <w:sz w:val="22"/>
        </w:rPr>
        <w:t xml:space="preserve">. All areas of the budget are subject to review and approval. Decisions related to these budget areas are based on both eligibility and reasonableness.   The CACJ Funding Committee has full discretion to determine the reasonableness of budget items based on both objective and subjective decision-making tools. See "Restrictions on Use of Funds" subsection below to determine whether budget items requested are allowable prior to submitting your budget.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Applications for funding will undergo several reviews. At any point during these reviews, a decision not to fund a project or any part thereof may be made. These decisions are within the complete discretion of the CACJ Funding Committee.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color="000000"/>
        </w:rPr>
      </w:pP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color="000000"/>
        </w:rPr>
        <w:t>Funding Decisions</w:t>
      </w:r>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All funding decisions related to CJCC applications received in response to this solicitation are made by the CACJ Funding Committee and are based on the availability of funding. The Council will inform the applicants of funding decisions through grant awards. Applicants should not make assumptions regarding </w:t>
      </w:r>
      <w:r w:rsidRPr="00FA4EF0">
        <w:rPr>
          <w:rFonts w:asciiTheme="minorHAnsi" w:hAnsiTheme="minorHAnsi" w:cs="Calibri Light"/>
          <w:sz w:val="22"/>
        </w:rPr>
        <w:lastRenderedPageBreak/>
        <w:t xml:space="preserve">funding decisions until they have received official written notification of awards or denials signed by the CJCC Council Director.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Once an award is made, the CACJ in conjunction with CJCC, maintains discretion to determine that a grantee is not compliant with applicable policies, and upon such a determination may terminate further funding and require reimbursement of grant funds to the CACJ.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color="000000"/>
        </w:rPr>
      </w:pPr>
    </w:p>
    <w:p w:rsidR="00FA4EF0" w:rsidRPr="00FA4EF0" w:rsidRDefault="00FA4EF0" w:rsidP="00FA4EF0">
      <w:pPr>
        <w:widowControl w:val="0"/>
        <w:tabs>
          <w:tab w:val="left" w:pos="3084"/>
        </w:tabs>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color="000000"/>
        </w:rPr>
        <w:t>Restrictions on Use of Funds</w:t>
      </w:r>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For this grant period, grant funds will not be allowed to be used for: out of state training, any part of a salary or pay supplements for state or county paid employees, office space, utilities, furniture (existing courts only), incentives, monthly cell phone charges, case management software (including maintenance and upgrades), vehicles, weapons, office supplies (existing courts only), construction projects and grant administrative overhead.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color="000000"/>
        </w:rPr>
      </w:pP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proofErr w:type="spellStart"/>
      <w:r w:rsidRPr="00FA4EF0">
        <w:rPr>
          <w:rFonts w:asciiTheme="minorHAnsi" w:eastAsia="Times New Roman" w:hAnsiTheme="minorHAnsi" w:cs="Times New Roman"/>
          <w:b/>
          <w:bCs/>
          <w:color w:val="3B3838"/>
          <w:sz w:val="22"/>
          <w:szCs w:val="22"/>
          <w:u w:val="single" w:color="000000"/>
        </w:rPr>
        <w:t>Supplantation</w:t>
      </w:r>
      <w:proofErr w:type="spellEnd"/>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Funds must be used to supplement existing funds for program activities and cannot replace or supplant funds that have been appropriated for the same purpose</w:t>
      </w:r>
      <w:r>
        <w:rPr>
          <w:rFonts w:asciiTheme="minorHAnsi" w:hAnsiTheme="minorHAnsi" w:cs="Calibri Light"/>
          <w:sz w:val="22"/>
        </w:rPr>
        <w:t xml:space="preserve">. </w:t>
      </w:r>
      <w:r w:rsidRPr="00FA4EF0">
        <w:rPr>
          <w:rFonts w:asciiTheme="minorHAnsi" w:hAnsiTheme="minorHAnsi" w:cs="Calibri Light"/>
          <w:sz w:val="22"/>
        </w:rPr>
        <w:t xml:space="preserve">Generally, supplanting occurs when a local government or program reduces local or other available funds for an activity specifically because state funds are available (or expected to be available) to fund that same activity. When supplanting is not permitted, any State grant funds may not replace any local, or other available funds that have been appropriated or allocated for the same purpose. In those instances when a question of supplanting arises, the applicant or grantee will be required to substantiate that the reduction in non-state resources occurred for reasons other than the receipt or expected receipt of state funds. </w:t>
      </w:r>
    </w:p>
    <w:p w:rsidR="00FA4EF0" w:rsidRPr="00FA4EF0" w:rsidRDefault="00FA4EF0" w:rsidP="00FA4EF0">
      <w:pPr>
        <w:widowControl w:val="0"/>
        <w:spacing w:before="120" w:after="120"/>
        <w:jc w:val="both"/>
        <w:outlineLvl w:val="0"/>
        <w:rPr>
          <w:rFonts w:asciiTheme="minorHAnsi" w:eastAsia="Times New Roman" w:hAnsiTheme="minorHAnsi" w:cs="Times New Roman"/>
          <w:b/>
          <w:color w:val="auto"/>
          <w:sz w:val="22"/>
          <w:szCs w:val="22"/>
          <w:u w:val="single"/>
        </w:rPr>
      </w:pPr>
      <w:r w:rsidRPr="00FA4EF0">
        <w:rPr>
          <w:rFonts w:asciiTheme="minorHAnsi" w:eastAsia="Times New Roman" w:hAnsiTheme="minorHAnsi" w:cs="Times New Roman"/>
          <w:b/>
          <w:color w:val="auto"/>
          <w:sz w:val="22"/>
          <w:szCs w:val="22"/>
          <w:u w:val="single"/>
        </w:rPr>
        <w:t xml:space="preserve">SECTION III: POST-AWARD REQUIREMENTS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color="000000"/>
        </w:rPr>
        <w:t>Grant Acceptance</w:t>
      </w:r>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Grantees wishing to accept FY’20 funding must submit signed Acceptance Letters and Special Conditions to the CJCC Office, so it is </w:t>
      </w:r>
      <w:r w:rsidRPr="00FA4EF0">
        <w:rPr>
          <w:rFonts w:asciiTheme="minorHAnsi" w:hAnsiTheme="minorHAnsi" w:cs="Calibri Light"/>
          <w:i/>
          <w:sz w:val="22"/>
        </w:rPr>
        <w:t>received</w:t>
      </w:r>
      <w:r w:rsidRPr="00FA4EF0">
        <w:rPr>
          <w:rFonts w:asciiTheme="minorHAnsi" w:hAnsiTheme="minorHAnsi" w:cs="Calibri Light"/>
          <w:sz w:val="22"/>
        </w:rPr>
        <w:t xml:space="preserve"> no later than 5 p.m., June 30, 2019.  CACJ Funding Committee will assume your court rejects its FY’20 award if these acceptance documents are not received by this submission deadline.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color="000000"/>
        </w:rPr>
      </w:pP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color="000000"/>
        </w:rPr>
        <w:t>Special Conditions</w:t>
      </w:r>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sz w:val="22"/>
        </w:rPr>
        <w:t xml:space="preserve">At the time of the grant award, the CACJ Funding Committee will assign special conditions, as deemed appropriate for the program.  The special conditions will outline the grantee's responsibilities, as well as state regulations that must be followed, as a condition of accepting the grant award for the approved program. The special conditions will be included in the award packet and must be reviewed, signed and returned to CJCC by 5 p.m., June 30, 2019 (see above). </w:t>
      </w:r>
      <w:r w:rsidRPr="00FA4EF0">
        <w:rPr>
          <w:rFonts w:asciiTheme="minorHAnsi" w:hAnsiTheme="minorHAnsi" w:cs="Calibri Light"/>
          <w:b/>
          <w:sz w:val="22"/>
        </w:rPr>
        <w:t xml:space="preserve">One fourth of all awarded funding must be requested in that quarter’s SER each reporting period. This means that the expenditure must be paid by your local funding agency and CJCC reimbursement has been requested within that reporting period.   Any unused funds each quarter end will be retained by the CJCC to be managed by the CACJ. </w:t>
      </w:r>
      <w:r w:rsidRPr="00FA4EF0">
        <w:rPr>
          <w:rFonts w:asciiTheme="minorHAnsi" w:hAnsiTheme="minorHAnsi" w:cs="Calibri Light"/>
          <w:b/>
          <w:i/>
          <w:sz w:val="22"/>
          <w:u w:val="single"/>
        </w:rPr>
        <w:t>This is a reimbursement grant.</w:t>
      </w:r>
      <w:r w:rsidRPr="00FA4EF0">
        <w:rPr>
          <w:rFonts w:asciiTheme="minorHAnsi" w:hAnsiTheme="minorHAnsi" w:cs="Calibri Light"/>
          <w:sz w:val="22"/>
        </w:rPr>
        <w:t xml:space="preserve">  If awarded funds, your court will be required to submit check stubs and copies of invoices to CJCC for reimbursement on a quarterly basis. </w:t>
      </w:r>
      <w:r w:rsidRPr="00FA4EF0">
        <w:rPr>
          <w:rFonts w:asciiTheme="minorHAnsi" w:hAnsiTheme="minorHAnsi" w:cs="Calibri Light"/>
          <w:b/>
          <w:sz w:val="22"/>
        </w:rPr>
        <w:t xml:space="preserve">Training is made available to each court that accepts grant funding.  Please see www.gaaccountabilitycourts.org for the training dates and attendee requirements.  </w:t>
      </w:r>
      <w:r w:rsidRPr="00FA4EF0">
        <w:rPr>
          <w:rFonts w:asciiTheme="minorHAnsi" w:hAnsiTheme="minorHAnsi" w:cs="Calibri Light"/>
          <w:sz w:val="22"/>
        </w:rPr>
        <w:t xml:space="preserve">Expenses for training will be reimbursed by the CACJ Funding Committee. </w:t>
      </w: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color="000000"/>
        </w:rPr>
      </w:pPr>
    </w:p>
    <w:p w:rsidR="00FA4EF0" w:rsidRPr="00FA4EF0" w:rsidRDefault="00FA4EF0" w:rsidP="00FA4EF0">
      <w:pPr>
        <w:widowControl w:val="0"/>
        <w:spacing w:after="0"/>
        <w:jc w:val="both"/>
        <w:outlineLvl w:val="1"/>
        <w:rPr>
          <w:rFonts w:asciiTheme="minorHAnsi" w:eastAsia="Times New Roman" w:hAnsiTheme="minorHAnsi" w:cs="Times New Roman"/>
          <w:b/>
          <w:bCs/>
          <w:color w:val="3B3838"/>
          <w:sz w:val="22"/>
          <w:szCs w:val="22"/>
          <w:u w:val="single"/>
        </w:rPr>
      </w:pPr>
      <w:r w:rsidRPr="00FA4EF0">
        <w:rPr>
          <w:rFonts w:asciiTheme="minorHAnsi" w:eastAsia="Times New Roman" w:hAnsiTheme="minorHAnsi" w:cs="Times New Roman"/>
          <w:b/>
          <w:bCs/>
          <w:color w:val="3B3838"/>
          <w:sz w:val="22"/>
          <w:szCs w:val="22"/>
          <w:u w:val="single" w:color="000000"/>
        </w:rPr>
        <w:t>Reporting Requirements</w:t>
      </w:r>
      <w:r w:rsidRPr="00FA4EF0">
        <w:rPr>
          <w:rFonts w:asciiTheme="minorHAnsi" w:eastAsia="Times New Roman" w:hAnsiTheme="minorHAnsi" w:cs="Times New Roman"/>
          <w:b/>
          <w:bCs/>
          <w:color w:val="3B3838"/>
          <w:sz w:val="22"/>
          <w:szCs w:val="22"/>
          <w:u w:val="single"/>
        </w:rPr>
        <w:t xml:space="preserve"> </w:t>
      </w:r>
    </w:p>
    <w:p w:rsidR="00FA4EF0" w:rsidRPr="00FA4EF0" w:rsidRDefault="00FA4EF0" w:rsidP="00FA4EF0">
      <w:pPr>
        <w:autoSpaceDE w:val="0"/>
        <w:autoSpaceDN w:val="0"/>
        <w:adjustRightInd w:val="0"/>
        <w:spacing w:after="0"/>
        <w:jc w:val="both"/>
        <w:rPr>
          <w:rFonts w:asciiTheme="minorHAnsi" w:hAnsiTheme="minorHAnsi" w:cs="Calibri Light"/>
          <w:b/>
          <w:sz w:val="22"/>
        </w:rPr>
      </w:pPr>
      <w:r w:rsidRPr="00FA4EF0">
        <w:rPr>
          <w:rFonts w:asciiTheme="minorHAnsi" w:hAnsiTheme="minorHAnsi" w:cs="Calibri Light"/>
          <w:sz w:val="22"/>
        </w:rPr>
        <w:t xml:space="preserve">Recipients of this FY’20 grant award will be required to complete and submit SER and a CACJ electronic data submission report, due no later than 15 days after each quarter end.  Failure to submit reports in a timely fashion could result in a 10% penalty that will be based on the initial grant award.   Subgrantees </w:t>
      </w:r>
      <w:r w:rsidRPr="00FA4EF0">
        <w:rPr>
          <w:rFonts w:asciiTheme="minorHAnsi" w:hAnsiTheme="minorHAnsi" w:cs="Calibri Light"/>
          <w:sz w:val="22"/>
        </w:rPr>
        <w:lastRenderedPageBreak/>
        <w:t xml:space="preserve">are given a 10-day grace before any action is taken (applies to SER only).  </w:t>
      </w:r>
      <w:r w:rsidRPr="00FA4EF0">
        <w:rPr>
          <w:rFonts w:asciiTheme="minorHAnsi" w:hAnsiTheme="minorHAnsi" w:cs="Calibri Light"/>
          <w:b/>
          <w:sz w:val="22"/>
        </w:rPr>
        <w:t>The electronic data submission report is generated by the state approved case management systems during FY’20.  The CACJ will present Implementation Courts with the opportunity to select a state approved case management system on or about July 1, 2019.</w:t>
      </w:r>
    </w:p>
    <w:p w:rsidR="00FA4EF0" w:rsidRPr="00FA4EF0" w:rsidRDefault="00FA4EF0" w:rsidP="00FA4EF0">
      <w:pPr>
        <w:autoSpaceDE w:val="0"/>
        <w:autoSpaceDN w:val="0"/>
        <w:adjustRightInd w:val="0"/>
        <w:spacing w:after="0"/>
        <w:jc w:val="both"/>
        <w:rPr>
          <w:rFonts w:asciiTheme="minorHAnsi" w:hAnsiTheme="minorHAnsi" w:cs="Calibri Light"/>
          <w:b/>
          <w:sz w:val="22"/>
        </w:rPr>
      </w:pPr>
    </w:p>
    <w:p w:rsidR="00FA4EF0" w:rsidRPr="00FA4EF0" w:rsidRDefault="00FA4EF0" w:rsidP="00FA4EF0">
      <w:pPr>
        <w:autoSpaceDE w:val="0"/>
        <w:autoSpaceDN w:val="0"/>
        <w:adjustRightInd w:val="0"/>
        <w:spacing w:after="0"/>
        <w:jc w:val="both"/>
        <w:rPr>
          <w:rFonts w:asciiTheme="minorHAnsi" w:hAnsiTheme="minorHAnsi" w:cs="Calibri Light"/>
          <w:sz w:val="22"/>
        </w:rPr>
      </w:pPr>
      <w:r w:rsidRPr="00FA4EF0">
        <w:rPr>
          <w:rFonts w:asciiTheme="minorHAnsi" w:hAnsiTheme="minorHAnsi" w:cs="Calibri Light"/>
          <w:i/>
          <w:sz w:val="22"/>
        </w:rPr>
        <w:t>SER (</w:t>
      </w:r>
      <w:r w:rsidRPr="00FA4EF0">
        <w:rPr>
          <w:rFonts w:asciiTheme="minorHAnsi" w:hAnsiTheme="minorHAnsi" w:cs="Calibri Light"/>
          <w:i/>
          <w:iCs/>
          <w:sz w:val="22"/>
        </w:rPr>
        <w:t>Sub-grant Expenditure Requests)</w:t>
      </w:r>
      <w:r w:rsidRPr="00FA4EF0">
        <w:rPr>
          <w:rFonts w:asciiTheme="minorHAnsi" w:hAnsiTheme="minorHAnsi" w:cs="Calibri Light"/>
          <w:i/>
          <w:sz w:val="22"/>
        </w:rPr>
        <w:t>:</w:t>
      </w:r>
      <w:r w:rsidRPr="00FA4EF0">
        <w:rPr>
          <w:rFonts w:asciiTheme="minorHAnsi" w:hAnsiTheme="minorHAnsi" w:cs="Calibri Light"/>
          <w:sz w:val="22"/>
        </w:rPr>
        <w:t xml:space="preserve"> Reimbursement requests for expenses incurred during the grant period on either a monthly or quarterly basis. To request reimbursement, the recipient must submit a financial report within fifteen days of the month’s end date, to their designated grant specialist. </w:t>
      </w: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FA4EF0" w:rsidRPr="00FA4EF0" w:rsidRDefault="00FA4EF0" w:rsidP="00FA4EF0">
      <w:pPr>
        <w:kinsoku w:val="0"/>
        <w:overflowPunct w:val="0"/>
        <w:autoSpaceDE w:val="0"/>
        <w:autoSpaceDN w:val="0"/>
        <w:adjustRightInd w:val="0"/>
        <w:spacing w:before="20" w:after="0"/>
        <w:ind w:right="11"/>
        <w:jc w:val="both"/>
        <w:rPr>
          <w:rFonts w:asciiTheme="minorHAnsi" w:hAnsiTheme="minorHAnsi" w:cs="Calibri Light"/>
          <w:color w:val="auto"/>
          <w:spacing w:val="-4"/>
          <w:szCs w:val="20"/>
        </w:rPr>
      </w:pPr>
    </w:p>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Pr="00201BA2" w:rsidRDefault="00201BA2" w:rsidP="00201BA2"/>
    <w:p w:rsidR="00201BA2" w:rsidRDefault="00201BA2" w:rsidP="00201BA2"/>
    <w:p w:rsidR="00D40A2F" w:rsidRDefault="00201BA2" w:rsidP="00201BA2">
      <w:pPr>
        <w:tabs>
          <w:tab w:val="left" w:pos="5213"/>
        </w:tabs>
      </w:pPr>
      <w:r>
        <w:tab/>
      </w:r>
    </w:p>
    <w:p w:rsidR="00201BA2" w:rsidRDefault="00201BA2" w:rsidP="00201BA2">
      <w:pPr>
        <w:tabs>
          <w:tab w:val="left" w:pos="5213"/>
        </w:tabs>
      </w:pPr>
    </w:p>
    <w:p w:rsidR="00201BA2" w:rsidRDefault="00201BA2" w:rsidP="00201BA2">
      <w:pPr>
        <w:tabs>
          <w:tab w:val="left" w:pos="5213"/>
        </w:tabs>
      </w:pPr>
    </w:p>
    <w:p w:rsidR="00201BA2" w:rsidRDefault="00201BA2" w:rsidP="00201BA2">
      <w:pPr>
        <w:tabs>
          <w:tab w:val="left" w:pos="5213"/>
        </w:tabs>
      </w:pPr>
    </w:p>
    <w:p w:rsidR="00201BA2" w:rsidRDefault="00201BA2" w:rsidP="00201BA2">
      <w:pPr>
        <w:tabs>
          <w:tab w:val="left" w:pos="5213"/>
        </w:tabs>
      </w:pPr>
    </w:p>
    <w:p w:rsidR="00201BA2" w:rsidRDefault="00201BA2" w:rsidP="00201BA2">
      <w:pPr>
        <w:tabs>
          <w:tab w:val="left" w:pos="5213"/>
        </w:tabs>
      </w:pPr>
    </w:p>
    <w:p w:rsidR="00201BA2" w:rsidRPr="00201BA2" w:rsidRDefault="00201BA2" w:rsidP="00201BA2">
      <w:pPr>
        <w:tabs>
          <w:tab w:val="left" w:pos="5213"/>
        </w:tabs>
      </w:pPr>
    </w:p>
    <w:sectPr w:rsidR="00201BA2" w:rsidRPr="00201BA2" w:rsidSect="00081E2F">
      <w:footerReference w:type="default" r:id="rId9"/>
      <w:headerReference w:type="first" r:id="rId10"/>
      <w:footerReference w:type="first" r:id="rId11"/>
      <w:pgSz w:w="12240" w:h="15840"/>
      <w:pgMar w:top="1440" w:right="1440" w:bottom="1440" w:left="1440" w:header="720" w:footer="720"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87C" w:rsidRDefault="00C8487C" w:rsidP="001E4C7A">
      <w:pPr>
        <w:spacing w:after="0"/>
      </w:pPr>
      <w:r>
        <w:separator/>
      </w:r>
    </w:p>
  </w:endnote>
  <w:endnote w:type="continuationSeparator" w:id="0">
    <w:p w:rsidR="00C8487C" w:rsidRDefault="00C8487C" w:rsidP="001E4C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43A" w:rsidRDefault="00BB543A">
    <w:pPr>
      <w:pStyle w:val="Footer"/>
    </w:pPr>
  </w:p>
  <w:p w:rsidR="00BB543A" w:rsidRDefault="00BB543A">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43A" w:rsidRPr="00D174D2" w:rsidRDefault="00BB543A" w:rsidP="00D174D2">
    <w:pPr>
      <w:pStyle w:val="NoSpacing"/>
      <w:jc w:val="center"/>
      <w:rPr>
        <w:rFonts w:cs="Calibri Light"/>
        <w:color w:val="012D6B"/>
        <w:sz w:val="20"/>
        <w:szCs w:val="20"/>
      </w:rPr>
    </w:pPr>
  </w:p>
  <w:p w:rsidR="00BB543A" w:rsidRPr="00D174D2" w:rsidRDefault="00BB543A" w:rsidP="00D174D2">
    <w:pPr>
      <w:pStyle w:val="NoSpacing"/>
      <w:jc w:val="center"/>
      <w:rPr>
        <w:rFonts w:cs="Calibri Light"/>
        <w:color w:val="012D6B"/>
        <w:sz w:val="20"/>
        <w:szCs w:val="20"/>
      </w:rPr>
    </w:pPr>
    <w:r w:rsidRPr="00D174D2">
      <w:rPr>
        <w:rFonts w:cs="Calibri Light"/>
        <w:color w:val="012D6B"/>
        <w:sz w:val="20"/>
        <w:szCs w:val="20"/>
      </w:rPr>
      <w:t xml:space="preserve">104 MARIETTA STREET NW, SUITE 440  </w:t>
    </w:r>
    <w:r w:rsidRPr="00D174D2">
      <w:rPr>
        <w:rFonts w:cs="Calibri Light"/>
        <w:noProof/>
        <w:color w:val="012D6B"/>
        <w:sz w:val="20"/>
        <w:szCs w:val="20"/>
      </w:rPr>
      <w:drawing>
        <wp:inline distT="0" distB="0" distL="0" distR="0" wp14:anchorId="4FAE0432" wp14:editId="61E3DC69">
          <wp:extent cx="82751" cy="8275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61" cy="83461"/>
                  </a:xfrm>
                  <a:prstGeom prst="rect">
                    <a:avLst/>
                  </a:prstGeom>
                  <a:noFill/>
                </pic:spPr>
              </pic:pic>
            </a:graphicData>
          </a:graphic>
        </wp:inline>
      </w:drawing>
    </w:r>
    <w:r w:rsidRPr="00D174D2">
      <w:rPr>
        <w:rFonts w:cs="Calibri Light"/>
        <w:color w:val="012D6B"/>
        <w:sz w:val="20"/>
        <w:szCs w:val="20"/>
      </w:rPr>
      <w:t xml:space="preserve">  ATLANTA, GEORGIA 30303-2743</w:t>
    </w:r>
  </w:p>
  <w:p w:rsidR="00BB543A" w:rsidRPr="00D174D2" w:rsidRDefault="00BB543A" w:rsidP="00D174D2">
    <w:pPr>
      <w:pStyle w:val="NoSpacing"/>
      <w:jc w:val="center"/>
      <w:rPr>
        <w:rFonts w:cs="Calibri Light"/>
        <w:color w:val="012D6B"/>
        <w:sz w:val="20"/>
        <w:szCs w:val="20"/>
      </w:rPr>
    </w:pPr>
    <w:r>
      <w:rPr>
        <w:rFonts w:cs="Calibri Light"/>
        <w:noProof/>
        <w:color w:val="012D6B"/>
        <w:sz w:val="20"/>
        <w:szCs w:val="20"/>
      </w:rPr>
      <mc:AlternateContent>
        <mc:Choice Requires="wps">
          <w:drawing>
            <wp:anchor distT="0" distB="0" distL="114300" distR="114300" simplePos="0" relativeHeight="251661312" behindDoc="0" locked="0" layoutInCell="1" allowOverlap="1" wp14:anchorId="7D8B97B6" wp14:editId="6F480CB6">
              <wp:simplePos x="0" y="0"/>
              <wp:positionH relativeFrom="column">
                <wp:posOffset>2947513</wp:posOffset>
              </wp:positionH>
              <wp:positionV relativeFrom="paragraph">
                <wp:posOffset>23178</wp:posOffset>
              </wp:positionV>
              <wp:extent cx="45719" cy="711384"/>
              <wp:effectExtent l="0" t="9207" r="21907" b="40958"/>
              <wp:wrapNone/>
              <wp:docPr id="21" name="Moon 21"/>
              <wp:cNvGraphicFramePr/>
              <a:graphic xmlns:a="http://schemas.openxmlformats.org/drawingml/2006/main">
                <a:graphicData uri="http://schemas.microsoft.com/office/word/2010/wordprocessingShape">
                  <wps:wsp>
                    <wps:cNvSpPr/>
                    <wps:spPr>
                      <a:xfrm rot="5400000">
                        <a:off x="0" y="0"/>
                        <a:ext cx="45719" cy="711384"/>
                      </a:xfrm>
                      <a:prstGeom prst="moon">
                        <a:avLst/>
                      </a:prstGeom>
                      <a:solidFill>
                        <a:srgbClr val="A1A1A5"/>
                      </a:solidFill>
                      <a:ln w="63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FB84B"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21" o:spid="_x0000_s1026" type="#_x0000_t184" style="position:absolute;margin-left:232.1pt;margin-top:1.85pt;width:3.6pt;height:5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il+pwIAAL8FAAAOAAAAZHJzL2Uyb0RvYy54bWysVN9v2yAQfp+0/wHxvjpOk/6I6lRRq06T&#10;urZqO/WZYIgtAceAxMn++h3guGlX7WGaLSGOu/u4+7i7i8utVmQjnG/BVLQ8GlEiDIe6NauK/ni+&#10;+XJGiQ/M1EyBERXdCU8v558/XXR2JsbQgKqFIwhi/KyzFW1CsLOi8LwRmvkjsMKgUoLTLKDoVkXt&#10;WIfoWhXj0eik6MDV1gEX3uPpdVbSecKXUvBwL6UXgaiKYmwhrS6ty7gW8ws2Wzlmm5b3YbB/iEKz&#10;1uClA9Q1C4ysXfsHlG65Aw8yHHHQBUjZcpFywGzK0btsnhpmRcoFyfF2oMn/P1h+t3lwpK0rOi4p&#10;MUzjG30HMARF5KazfoYmT/bB9ZLHbUx0K50mDpDQ6WQUv5Q+JkS2id3dwK7YBsLxcDI9Lc8p4ag5&#10;Lcvjs0m8oMhIEdE6H74K0CRuKqoxioTJNrc+ZNO9STT3oNr6plUqCW61vFKObBi+86LEf9qjvzFT&#10;hnQVPTme5mjf6FLJiQFkuUoEYHwHVigpg0FHWjIRaRd2SsQolHkUEsnEZMcp9HeYjHNhQplVDatF&#10;jnea6MsZDh6JmgQYkSXmOWD3ALFFXuPdY2eY3j66itQFg3Of+d+cB490M5gwOOvWgPsoM4VZ9Tdn&#10;+z1JmZrI0hLqHZZaKhnsRG/5TYsPfct8eGAOmw4PcZCEe1ykAnwn6HeUNOB+fXQe7bEXUEtJh01c&#10;Uf9zzZygRH0z2CXn5WQSuz4JWH9jFNyhZnmoMWt9BVg/2AgYXdpG+6D2W+lAv+C8WcRbUcUMx7sr&#10;yoPbC1chDxecWFwsFskMO92ycGueLI/gkdVYyM/bF+ZsX+0Bu+QO9g3PZu+KPttGTwOLdQDZpo54&#10;5bXnG6dEKpx+osUxdCgnq9e5O/8NAAD//wMAUEsDBBQABgAIAAAAIQBE5VEk3wAAAAkBAAAPAAAA&#10;ZHJzL2Rvd25yZXYueG1sTI/NTsMwEITvSLyDtUjcqPPTRijEqRAiqkACROEBnHjzo8Z2iLdteHuW&#10;Exx3djTzTbFd7ChOOIfBOwXxKgKBrvFmcJ2Cz4/q5hZEIO2MHr1DBd8YYFteXhQ6N/7s3vG0p05w&#10;iAu5VtATTbmUoenR6rDyEzr+tX62mvicO2lmfeZwO8okijJp9eC4odcTPvTYHPZHq+DwuH7avS0V&#10;tl/P9Uv7WtFOJ6TU9dVyfweCcKE/M/ziMzqUzFT7ozNBjArWcczopGCTxSDYsElSFmoFWZqCLAv5&#10;f0H5AwAA//8DAFBLAQItABQABgAIAAAAIQC2gziS/gAAAOEBAAATAAAAAAAAAAAAAAAAAAAAAABb&#10;Q29udGVudF9UeXBlc10ueG1sUEsBAi0AFAAGAAgAAAAhADj9If/WAAAAlAEAAAsAAAAAAAAAAAAA&#10;AAAALwEAAF9yZWxzLy5yZWxzUEsBAi0AFAAGAAgAAAAhAFfSKX6nAgAAvwUAAA4AAAAAAAAAAAAA&#10;AAAALgIAAGRycy9lMm9Eb2MueG1sUEsBAi0AFAAGAAgAAAAhAETlUSTfAAAACQEAAA8AAAAAAAAA&#10;AAAAAAAAAQUAAGRycy9kb3ducmV2LnhtbFBLBQYAAAAABAAEAPMAAAANBgAAAAA=&#10;" fillcolor="#a1a1a5" strokecolor="white [3212]" strokeweight=".5pt"/>
          </w:pict>
        </mc:Fallback>
      </mc:AlternateContent>
    </w:r>
    <w:r w:rsidRPr="00D174D2">
      <w:rPr>
        <w:rFonts w:cs="Calibri Light"/>
        <w:color w:val="012D6B"/>
        <w:sz w:val="20"/>
        <w:szCs w:val="20"/>
      </w:rPr>
      <w:t xml:space="preserve">404.657.1956  </w:t>
    </w:r>
    <w:r w:rsidRPr="00D174D2">
      <w:rPr>
        <w:rFonts w:cs="Calibri Light"/>
        <w:noProof/>
        <w:color w:val="012D6B"/>
        <w:sz w:val="20"/>
        <w:szCs w:val="20"/>
      </w:rPr>
      <w:drawing>
        <wp:inline distT="0" distB="0" distL="0" distR="0" wp14:anchorId="3A1C9C07" wp14:editId="769A8065">
          <wp:extent cx="82751" cy="8275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61" cy="83461"/>
                  </a:xfrm>
                  <a:prstGeom prst="rect">
                    <a:avLst/>
                  </a:prstGeom>
                  <a:noFill/>
                </pic:spPr>
              </pic:pic>
            </a:graphicData>
          </a:graphic>
        </wp:inline>
      </w:drawing>
    </w:r>
    <w:r w:rsidRPr="00D174D2">
      <w:rPr>
        <w:rFonts w:cs="Calibri Light"/>
        <w:color w:val="012D6B"/>
        <w:sz w:val="20"/>
        <w:szCs w:val="20"/>
      </w:rPr>
      <w:t xml:space="preserve">  877.231.6590  </w:t>
    </w:r>
    <w:r w:rsidRPr="00D174D2">
      <w:rPr>
        <w:rFonts w:cs="Calibri Light"/>
        <w:noProof/>
        <w:color w:val="012D6B"/>
        <w:sz w:val="20"/>
        <w:szCs w:val="20"/>
      </w:rPr>
      <w:drawing>
        <wp:inline distT="0" distB="0" distL="0" distR="0" wp14:anchorId="203CAA50" wp14:editId="525E9036">
          <wp:extent cx="82751" cy="8275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61" cy="83461"/>
                  </a:xfrm>
                  <a:prstGeom prst="rect">
                    <a:avLst/>
                  </a:prstGeom>
                  <a:noFill/>
                </pic:spPr>
              </pic:pic>
            </a:graphicData>
          </a:graphic>
        </wp:inline>
      </w:drawing>
    </w:r>
    <w:r w:rsidRPr="00D174D2">
      <w:rPr>
        <w:rFonts w:cs="Calibri Light"/>
        <w:color w:val="012D6B"/>
        <w:sz w:val="20"/>
        <w:szCs w:val="20"/>
      </w:rPr>
      <w:t xml:space="preserve">  404.657.1957 FAX</w:t>
    </w:r>
  </w:p>
  <w:p w:rsidR="00BB543A" w:rsidRDefault="00BB543A" w:rsidP="00D174D2">
    <w:pPr>
      <w:pStyle w:val="NoSpacing"/>
      <w:jc w:val="center"/>
      <w:rPr>
        <w:rFonts w:cs="Calibri Light"/>
        <w:color w:val="012D6B"/>
        <w:sz w:val="20"/>
        <w:szCs w:val="20"/>
      </w:rPr>
    </w:pPr>
    <w:r w:rsidRPr="00D174D2">
      <w:rPr>
        <w:rFonts w:cs="Calibri Light"/>
        <w:color w:val="012D6B"/>
        <w:sz w:val="20"/>
        <w:szCs w:val="20"/>
      </w:rPr>
      <w:t>CJCC.GEORGIA.GOV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87C" w:rsidRDefault="00C8487C" w:rsidP="001E4C7A">
      <w:pPr>
        <w:spacing w:after="0"/>
      </w:pPr>
      <w:r>
        <w:separator/>
      </w:r>
    </w:p>
  </w:footnote>
  <w:footnote w:type="continuationSeparator" w:id="0">
    <w:p w:rsidR="00C8487C" w:rsidRDefault="00C8487C" w:rsidP="001E4C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43A" w:rsidRDefault="00BB543A" w:rsidP="0000371C">
    <w:pPr>
      <w:kinsoku w:val="0"/>
      <w:overflowPunct w:val="0"/>
      <w:autoSpaceDE w:val="0"/>
      <w:autoSpaceDN w:val="0"/>
      <w:adjustRightInd w:val="0"/>
      <w:spacing w:before="20" w:after="0"/>
      <w:ind w:right="11"/>
      <w:rPr>
        <w:rFonts w:cs="Calibri Light"/>
        <w:color w:val="012D6B"/>
        <w:spacing w:val="-4"/>
        <w:sz w:val="20"/>
        <w:szCs w:val="20"/>
      </w:rPr>
    </w:pPr>
    <w:r w:rsidRPr="003255A6">
      <w:rPr>
        <w:noProof/>
        <w:color w:val="012D6B"/>
      </w:rPr>
      <w:drawing>
        <wp:anchor distT="0" distB="0" distL="114300" distR="114300" simplePos="0" relativeHeight="251660288" behindDoc="0" locked="0" layoutInCell="1" allowOverlap="1" wp14:anchorId="0F8DA87F" wp14:editId="4885CA48">
          <wp:simplePos x="0" y="0"/>
          <wp:positionH relativeFrom="column">
            <wp:posOffset>2396505</wp:posOffset>
          </wp:positionH>
          <wp:positionV relativeFrom="paragraph">
            <wp:posOffset>-128402</wp:posOffset>
          </wp:positionV>
          <wp:extent cx="1132764" cy="1132764"/>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2764" cy="1132764"/>
                  </a:xfrm>
                  <a:prstGeom prst="rect">
                    <a:avLst/>
                  </a:prstGeom>
                  <a:noFill/>
                </pic:spPr>
              </pic:pic>
            </a:graphicData>
          </a:graphic>
          <wp14:sizeRelH relativeFrom="margin">
            <wp14:pctWidth>0</wp14:pctWidth>
          </wp14:sizeRelH>
          <wp14:sizeRelV relativeFrom="margin">
            <wp14:pctHeight>0</wp14:pctHeight>
          </wp14:sizeRelV>
        </wp:anchor>
      </w:drawing>
    </w:r>
  </w:p>
  <w:p w:rsidR="00BB543A" w:rsidRDefault="00BB543A" w:rsidP="0000371C">
    <w:pPr>
      <w:kinsoku w:val="0"/>
      <w:overflowPunct w:val="0"/>
      <w:autoSpaceDE w:val="0"/>
      <w:autoSpaceDN w:val="0"/>
      <w:adjustRightInd w:val="0"/>
      <w:spacing w:before="20" w:after="0"/>
      <w:ind w:right="11"/>
      <w:rPr>
        <w:rFonts w:cs="Calibri Light"/>
        <w:color w:val="012D6B"/>
        <w:spacing w:val="-4"/>
        <w:sz w:val="20"/>
        <w:szCs w:val="20"/>
      </w:rPr>
    </w:pPr>
  </w:p>
  <w:p w:rsidR="00BB543A" w:rsidRPr="003255A6" w:rsidRDefault="00BB543A" w:rsidP="0000371C">
    <w:pPr>
      <w:kinsoku w:val="0"/>
      <w:overflowPunct w:val="0"/>
      <w:autoSpaceDE w:val="0"/>
      <w:autoSpaceDN w:val="0"/>
      <w:adjustRightInd w:val="0"/>
      <w:spacing w:before="20" w:after="0"/>
      <w:ind w:right="11"/>
      <w:rPr>
        <w:rFonts w:cs="Calibri Light"/>
        <w:color w:val="012D6B"/>
        <w:spacing w:val="-4"/>
        <w:sz w:val="20"/>
        <w:szCs w:val="20"/>
      </w:rPr>
    </w:pPr>
  </w:p>
  <w:p w:rsidR="00BB543A" w:rsidRPr="003255A6" w:rsidRDefault="00BB543A" w:rsidP="003B3C14">
    <w:pPr>
      <w:tabs>
        <w:tab w:val="left" w:pos="6390"/>
      </w:tabs>
      <w:kinsoku w:val="0"/>
      <w:overflowPunct w:val="0"/>
      <w:autoSpaceDE w:val="0"/>
      <w:autoSpaceDN w:val="0"/>
      <w:adjustRightInd w:val="0"/>
      <w:spacing w:before="20" w:after="0"/>
      <w:ind w:right="11"/>
      <w:rPr>
        <w:rFonts w:cs="Calibri Light"/>
        <w:color w:val="012D6B"/>
        <w:spacing w:val="-4"/>
        <w:sz w:val="20"/>
        <w:szCs w:val="20"/>
      </w:rPr>
    </w:pPr>
    <w:r>
      <w:rPr>
        <w:rFonts w:cs="Calibri Light"/>
        <w:color w:val="012D6B"/>
        <w:spacing w:val="-4"/>
        <w:sz w:val="20"/>
        <w:szCs w:val="20"/>
      </w:rPr>
      <w:tab/>
    </w:r>
  </w:p>
  <w:p w:rsidR="00BB543A" w:rsidRPr="003B3C14" w:rsidRDefault="00201BA2" w:rsidP="0000371C">
    <w:pPr>
      <w:kinsoku w:val="0"/>
      <w:overflowPunct w:val="0"/>
      <w:autoSpaceDE w:val="0"/>
      <w:autoSpaceDN w:val="0"/>
      <w:adjustRightInd w:val="0"/>
      <w:spacing w:before="20" w:after="0"/>
      <w:ind w:right="11"/>
      <w:rPr>
        <w:rFonts w:cs="Calibri Light"/>
        <w:b/>
        <w:color w:val="012D6B"/>
        <w:spacing w:val="-4"/>
        <w:sz w:val="20"/>
        <w:szCs w:val="20"/>
      </w:rPr>
    </w:pPr>
    <w:r>
      <w:rPr>
        <w:rFonts w:cs="Calibri Light"/>
        <w:b/>
        <w:color w:val="012D6B"/>
        <w:spacing w:val="-4"/>
        <w:sz w:val="20"/>
        <w:szCs w:val="20"/>
      </w:rPr>
      <w:t>BRIAN P. KEMP</w:t>
    </w:r>
    <w:r w:rsidR="00BB543A" w:rsidRPr="003B3C14">
      <w:rPr>
        <w:rFonts w:cs="Calibri Light"/>
        <w:b/>
        <w:color w:val="012D6B"/>
        <w:spacing w:val="-4"/>
        <w:sz w:val="20"/>
        <w:szCs w:val="20"/>
      </w:rPr>
      <w:tab/>
    </w:r>
    <w:r w:rsidR="00BB543A" w:rsidRPr="003B3C14">
      <w:rPr>
        <w:rFonts w:cs="Calibri Light"/>
        <w:b/>
        <w:color w:val="012D6B"/>
        <w:spacing w:val="-4"/>
        <w:sz w:val="20"/>
        <w:szCs w:val="20"/>
      </w:rPr>
      <w:tab/>
    </w:r>
    <w:r w:rsidR="00BB543A" w:rsidRPr="003B3C14">
      <w:rPr>
        <w:rFonts w:cs="Calibri Light"/>
        <w:b/>
        <w:color w:val="012D6B"/>
        <w:spacing w:val="-4"/>
        <w:sz w:val="20"/>
        <w:szCs w:val="20"/>
      </w:rPr>
      <w:tab/>
    </w:r>
    <w:r w:rsidR="00BB543A" w:rsidRPr="003B3C14">
      <w:rPr>
        <w:rFonts w:cs="Calibri Light"/>
        <w:b/>
        <w:color w:val="012D6B"/>
        <w:spacing w:val="-4"/>
        <w:sz w:val="20"/>
        <w:szCs w:val="20"/>
      </w:rPr>
      <w:tab/>
    </w:r>
    <w:r w:rsidR="00BB543A" w:rsidRPr="003B3C14">
      <w:rPr>
        <w:rFonts w:cs="Calibri Light"/>
        <w:b/>
        <w:color w:val="012D6B"/>
        <w:spacing w:val="-4"/>
        <w:sz w:val="20"/>
        <w:szCs w:val="20"/>
      </w:rPr>
      <w:tab/>
    </w:r>
    <w:r w:rsidR="00BB543A" w:rsidRPr="003B3C14">
      <w:rPr>
        <w:rFonts w:cs="Calibri Light"/>
        <w:b/>
        <w:color w:val="012D6B"/>
        <w:spacing w:val="-4"/>
        <w:sz w:val="20"/>
        <w:szCs w:val="20"/>
      </w:rPr>
      <w:tab/>
    </w:r>
    <w:r w:rsidR="00BB543A" w:rsidRPr="003B3C14">
      <w:rPr>
        <w:rFonts w:cs="Calibri Light"/>
        <w:b/>
        <w:color w:val="012D6B"/>
        <w:spacing w:val="-4"/>
        <w:sz w:val="20"/>
        <w:szCs w:val="20"/>
      </w:rPr>
      <w:tab/>
    </w:r>
    <w:r w:rsidR="00BB543A" w:rsidRPr="003B3C14">
      <w:rPr>
        <w:rFonts w:cs="Calibri Light"/>
        <w:b/>
        <w:color w:val="012D6B"/>
        <w:spacing w:val="-4"/>
        <w:sz w:val="20"/>
        <w:szCs w:val="20"/>
      </w:rPr>
      <w:tab/>
    </w:r>
    <w:r w:rsidR="00BB543A" w:rsidRPr="003B3C14">
      <w:rPr>
        <w:rFonts w:cs="Calibri Light"/>
        <w:b/>
        <w:color w:val="012D6B"/>
        <w:spacing w:val="-4"/>
        <w:sz w:val="20"/>
        <w:szCs w:val="20"/>
      </w:rPr>
      <w:tab/>
    </w:r>
    <w:r w:rsidR="00BB543A" w:rsidRPr="003B3C14">
      <w:rPr>
        <w:rFonts w:cs="Calibri Light"/>
        <w:b/>
        <w:color w:val="012D6B"/>
        <w:spacing w:val="-4"/>
        <w:sz w:val="20"/>
        <w:szCs w:val="20"/>
      </w:rPr>
      <w:tab/>
    </w:r>
    <w:r w:rsidR="00BB543A" w:rsidRPr="003B3C14">
      <w:rPr>
        <w:rFonts w:cs="Calibri Light"/>
        <w:b/>
        <w:color w:val="012D6B"/>
        <w:spacing w:val="-4"/>
        <w:sz w:val="20"/>
        <w:szCs w:val="20"/>
      </w:rPr>
      <w:tab/>
      <w:t>JAY NEAL</w:t>
    </w:r>
  </w:p>
  <w:p w:rsidR="00BB543A" w:rsidRPr="003255A6" w:rsidRDefault="00BB543A">
    <w:pPr>
      <w:pStyle w:val="Header"/>
      <w:rPr>
        <w:color w:val="012D6B"/>
      </w:rPr>
    </w:pPr>
    <w:r w:rsidRPr="003255A6">
      <w:rPr>
        <w:rFonts w:cs="Calibri Light"/>
        <w:color w:val="012D6B"/>
        <w:spacing w:val="-4"/>
        <w:sz w:val="20"/>
        <w:szCs w:val="20"/>
      </w:rPr>
      <w:t>GOVERNOR</w:t>
    </w:r>
    <w:r w:rsidRPr="003255A6">
      <w:rPr>
        <w:rFonts w:cs="Calibri Light"/>
        <w:color w:val="012D6B"/>
        <w:spacing w:val="-4"/>
        <w:sz w:val="20"/>
        <w:szCs w:val="20"/>
      </w:rPr>
      <w:tab/>
    </w:r>
    <w:r w:rsidRPr="003255A6">
      <w:rPr>
        <w:rFonts w:cs="Calibri Light"/>
        <w:color w:val="012D6B"/>
        <w:spacing w:val="-4"/>
        <w:sz w:val="20"/>
        <w:szCs w:val="20"/>
      </w:rPr>
      <w:tab/>
      <w:t>EXECUTIVE 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61"/>
      </w:pPr>
      <w:rPr>
        <w:rFonts w:ascii="Times New Roman" w:hAnsi="Times New Roman" w:cs="Times New Roman"/>
        <w:b/>
        <w:bCs/>
        <w:i/>
        <w:i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976B2C"/>
    <w:multiLevelType w:val="hybridMultilevel"/>
    <w:tmpl w:val="AA7A769C"/>
    <w:lvl w:ilvl="0" w:tplc="C12E7C20">
      <w:start w:val="1"/>
      <w:numFmt w:val="bullet"/>
      <w:lvlText w:val="•"/>
      <w:lvlJc w:val="left"/>
      <w:pPr>
        <w:tabs>
          <w:tab w:val="num" w:pos="720"/>
        </w:tabs>
        <w:ind w:left="720" w:hanging="360"/>
      </w:pPr>
      <w:rPr>
        <w:rFonts w:ascii="Arial" w:hAnsi="Arial" w:hint="default"/>
      </w:rPr>
    </w:lvl>
    <w:lvl w:ilvl="1" w:tplc="57E69C5E">
      <w:start w:val="1"/>
      <w:numFmt w:val="bullet"/>
      <w:lvlText w:val="•"/>
      <w:lvlJc w:val="left"/>
      <w:pPr>
        <w:tabs>
          <w:tab w:val="num" w:pos="1440"/>
        </w:tabs>
        <w:ind w:left="1440" w:hanging="360"/>
      </w:pPr>
      <w:rPr>
        <w:rFonts w:ascii="Arial" w:hAnsi="Arial" w:hint="default"/>
      </w:rPr>
    </w:lvl>
    <w:lvl w:ilvl="2" w:tplc="455C50D6">
      <w:start w:val="1"/>
      <w:numFmt w:val="bullet"/>
      <w:lvlText w:val="•"/>
      <w:lvlJc w:val="left"/>
      <w:pPr>
        <w:tabs>
          <w:tab w:val="num" w:pos="2160"/>
        </w:tabs>
        <w:ind w:left="2160" w:hanging="360"/>
      </w:pPr>
      <w:rPr>
        <w:rFonts w:ascii="Arial" w:hAnsi="Arial" w:hint="default"/>
      </w:rPr>
    </w:lvl>
    <w:lvl w:ilvl="3" w:tplc="B53AEACE">
      <w:start w:val="12945"/>
      <w:numFmt w:val="bullet"/>
      <w:lvlText w:val="•"/>
      <w:lvlJc w:val="left"/>
      <w:pPr>
        <w:tabs>
          <w:tab w:val="num" w:pos="2880"/>
        </w:tabs>
        <w:ind w:left="2880" w:hanging="360"/>
      </w:pPr>
      <w:rPr>
        <w:rFonts w:ascii="Arial" w:hAnsi="Arial" w:hint="default"/>
      </w:rPr>
    </w:lvl>
    <w:lvl w:ilvl="4" w:tplc="96CEF0B4" w:tentative="1">
      <w:start w:val="1"/>
      <w:numFmt w:val="bullet"/>
      <w:lvlText w:val="•"/>
      <w:lvlJc w:val="left"/>
      <w:pPr>
        <w:tabs>
          <w:tab w:val="num" w:pos="3600"/>
        </w:tabs>
        <w:ind w:left="3600" w:hanging="360"/>
      </w:pPr>
      <w:rPr>
        <w:rFonts w:ascii="Arial" w:hAnsi="Arial" w:hint="default"/>
      </w:rPr>
    </w:lvl>
    <w:lvl w:ilvl="5" w:tplc="C0700E48" w:tentative="1">
      <w:start w:val="1"/>
      <w:numFmt w:val="bullet"/>
      <w:lvlText w:val="•"/>
      <w:lvlJc w:val="left"/>
      <w:pPr>
        <w:tabs>
          <w:tab w:val="num" w:pos="4320"/>
        </w:tabs>
        <w:ind w:left="4320" w:hanging="360"/>
      </w:pPr>
      <w:rPr>
        <w:rFonts w:ascii="Arial" w:hAnsi="Arial" w:hint="default"/>
      </w:rPr>
    </w:lvl>
    <w:lvl w:ilvl="6" w:tplc="4250830A" w:tentative="1">
      <w:start w:val="1"/>
      <w:numFmt w:val="bullet"/>
      <w:lvlText w:val="•"/>
      <w:lvlJc w:val="left"/>
      <w:pPr>
        <w:tabs>
          <w:tab w:val="num" w:pos="5040"/>
        </w:tabs>
        <w:ind w:left="5040" w:hanging="360"/>
      </w:pPr>
      <w:rPr>
        <w:rFonts w:ascii="Arial" w:hAnsi="Arial" w:hint="default"/>
      </w:rPr>
    </w:lvl>
    <w:lvl w:ilvl="7" w:tplc="933025CC" w:tentative="1">
      <w:start w:val="1"/>
      <w:numFmt w:val="bullet"/>
      <w:lvlText w:val="•"/>
      <w:lvlJc w:val="left"/>
      <w:pPr>
        <w:tabs>
          <w:tab w:val="num" w:pos="5760"/>
        </w:tabs>
        <w:ind w:left="5760" w:hanging="360"/>
      </w:pPr>
      <w:rPr>
        <w:rFonts w:ascii="Arial" w:hAnsi="Arial" w:hint="default"/>
      </w:rPr>
    </w:lvl>
    <w:lvl w:ilvl="8" w:tplc="5F803C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203C43"/>
    <w:multiLevelType w:val="hybridMultilevel"/>
    <w:tmpl w:val="3370AE38"/>
    <w:lvl w:ilvl="0" w:tplc="D6B6B1A2">
      <w:numFmt w:val="bullet"/>
      <w:lvlText w:val=""/>
      <w:lvlJc w:val="left"/>
      <w:pPr>
        <w:ind w:left="1080" w:hanging="360"/>
      </w:pPr>
      <w:rPr>
        <w:rFonts w:ascii="Symbol" w:eastAsiaTheme="minorEastAsia" w:hAnsi="Symbol"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BA2AA7"/>
    <w:multiLevelType w:val="hybridMultilevel"/>
    <w:tmpl w:val="CFFA235E"/>
    <w:lvl w:ilvl="0" w:tplc="14F6A16A">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597971"/>
    <w:multiLevelType w:val="hybridMultilevel"/>
    <w:tmpl w:val="FEBAF4B4"/>
    <w:lvl w:ilvl="0" w:tplc="55E80A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3B4C10"/>
    <w:multiLevelType w:val="hybridMultilevel"/>
    <w:tmpl w:val="6BB4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8318C"/>
    <w:multiLevelType w:val="hybridMultilevel"/>
    <w:tmpl w:val="182825C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42C5F"/>
    <w:multiLevelType w:val="hybridMultilevel"/>
    <w:tmpl w:val="C2E4541A"/>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9523DC"/>
    <w:multiLevelType w:val="hybridMultilevel"/>
    <w:tmpl w:val="E0B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042E7"/>
    <w:multiLevelType w:val="hybridMultilevel"/>
    <w:tmpl w:val="C376FD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757CE"/>
    <w:multiLevelType w:val="hybridMultilevel"/>
    <w:tmpl w:val="12BE6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84474"/>
    <w:multiLevelType w:val="hybridMultilevel"/>
    <w:tmpl w:val="38801A18"/>
    <w:lvl w:ilvl="0" w:tplc="851639FC">
      <w:start w:val="1"/>
      <w:numFmt w:val="decimal"/>
      <w:lvlText w:val="%1."/>
      <w:lvlJc w:val="left"/>
      <w:pPr>
        <w:ind w:left="1080" w:hanging="360"/>
      </w:pPr>
      <w:rPr>
        <w:rFonts w:ascii="Calibri Light" w:eastAsiaTheme="minorEastAsia" w:hAnsi="Calibri Light"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CA346F"/>
    <w:multiLevelType w:val="hybridMultilevel"/>
    <w:tmpl w:val="0012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33CA6"/>
    <w:multiLevelType w:val="hybridMultilevel"/>
    <w:tmpl w:val="1B760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56C03"/>
    <w:multiLevelType w:val="hybridMultilevel"/>
    <w:tmpl w:val="192CF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07A60"/>
    <w:multiLevelType w:val="hybridMultilevel"/>
    <w:tmpl w:val="2B7CBE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A1723F"/>
    <w:multiLevelType w:val="hybridMultilevel"/>
    <w:tmpl w:val="3CA4E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2A7553"/>
    <w:multiLevelType w:val="hybridMultilevel"/>
    <w:tmpl w:val="9132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44061"/>
    <w:multiLevelType w:val="hybridMultilevel"/>
    <w:tmpl w:val="20C6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E4BED"/>
    <w:multiLevelType w:val="hybridMultilevel"/>
    <w:tmpl w:val="30EC48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D47D4"/>
    <w:multiLevelType w:val="hybridMultilevel"/>
    <w:tmpl w:val="D8D63EDA"/>
    <w:lvl w:ilvl="0" w:tplc="B5D41F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8506C7"/>
    <w:multiLevelType w:val="hybridMultilevel"/>
    <w:tmpl w:val="2D8A8728"/>
    <w:lvl w:ilvl="0" w:tplc="8744C8C6">
      <w:start w:val="1"/>
      <w:numFmt w:val="upperRoman"/>
      <w:lvlText w:val="%1."/>
      <w:lvlJc w:val="left"/>
      <w:pPr>
        <w:ind w:left="1080" w:hanging="720"/>
      </w:pPr>
      <w:rPr>
        <w:rFonts w:hint="default"/>
        <w:b w:val="0"/>
      </w:rPr>
    </w:lvl>
    <w:lvl w:ilvl="1" w:tplc="7C22C46A">
      <w:start w:val="1"/>
      <w:numFmt w:val="lowerLetter"/>
      <w:lvlText w:val="%2."/>
      <w:lvlJc w:val="left"/>
      <w:pPr>
        <w:ind w:left="1440" w:hanging="360"/>
      </w:pPr>
      <w:rPr>
        <w:b w:val="0"/>
      </w:rPr>
    </w:lvl>
    <w:lvl w:ilvl="2" w:tplc="CD747F4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C4EC0"/>
    <w:multiLevelType w:val="hybridMultilevel"/>
    <w:tmpl w:val="AF6C6582"/>
    <w:lvl w:ilvl="0" w:tplc="3556A684">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FC610E"/>
    <w:multiLevelType w:val="hybridMultilevel"/>
    <w:tmpl w:val="2E90C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07032"/>
    <w:multiLevelType w:val="hybridMultilevel"/>
    <w:tmpl w:val="FE6E47AC"/>
    <w:lvl w:ilvl="0" w:tplc="091A7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0F21F9"/>
    <w:multiLevelType w:val="hybridMultilevel"/>
    <w:tmpl w:val="12BE6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049B1"/>
    <w:multiLevelType w:val="hybridMultilevel"/>
    <w:tmpl w:val="5858B458"/>
    <w:lvl w:ilvl="0" w:tplc="13C0FFEA">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7"/>
  </w:num>
  <w:num w:numId="4">
    <w:abstractNumId w:val="26"/>
  </w:num>
  <w:num w:numId="5">
    <w:abstractNumId w:val="11"/>
  </w:num>
  <w:num w:numId="6">
    <w:abstractNumId w:val="6"/>
  </w:num>
  <w:num w:numId="7">
    <w:abstractNumId w:val="4"/>
  </w:num>
  <w:num w:numId="8">
    <w:abstractNumId w:val="17"/>
  </w:num>
  <w:num w:numId="9">
    <w:abstractNumId w:val="12"/>
  </w:num>
  <w:num w:numId="10">
    <w:abstractNumId w:val="1"/>
  </w:num>
  <w:num w:numId="11">
    <w:abstractNumId w:val="5"/>
  </w:num>
  <w:num w:numId="12">
    <w:abstractNumId w:val="25"/>
  </w:num>
  <w:num w:numId="13">
    <w:abstractNumId w:val="14"/>
  </w:num>
  <w:num w:numId="14">
    <w:abstractNumId w:val="13"/>
  </w:num>
  <w:num w:numId="15">
    <w:abstractNumId w:val="10"/>
  </w:num>
  <w:num w:numId="16">
    <w:abstractNumId w:val="23"/>
  </w:num>
  <w:num w:numId="17">
    <w:abstractNumId w:val="2"/>
  </w:num>
  <w:num w:numId="18">
    <w:abstractNumId w:val="3"/>
  </w:num>
  <w:num w:numId="19">
    <w:abstractNumId w:val="15"/>
  </w:num>
  <w:num w:numId="20">
    <w:abstractNumId w:val="19"/>
  </w:num>
  <w:num w:numId="21">
    <w:abstractNumId w:val="9"/>
  </w:num>
  <w:num w:numId="22">
    <w:abstractNumId w:val="18"/>
  </w:num>
  <w:num w:numId="23">
    <w:abstractNumId w:val="21"/>
  </w:num>
  <w:num w:numId="24">
    <w:abstractNumId w:val="20"/>
  </w:num>
  <w:num w:numId="25">
    <w:abstractNumId w:val="24"/>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7A"/>
    <w:rsid w:val="0000371C"/>
    <w:rsid w:val="00007F89"/>
    <w:rsid w:val="00013776"/>
    <w:rsid w:val="00034262"/>
    <w:rsid w:val="0004100E"/>
    <w:rsid w:val="00047B18"/>
    <w:rsid w:val="0005529E"/>
    <w:rsid w:val="00057096"/>
    <w:rsid w:val="000755FD"/>
    <w:rsid w:val="00081E2F"/>
    <w:rsid w:val="00091177"/>
    <w:rsid w:val="00096E69"/>
    <w:rsid w:val="000C204E"/>
    <w:rsid w:val="000D02ED"/>
    <w:rsid w:val="000E5772"/>
    <w:rsid w:val="000F69D6"/>
    <w:rsid w:val="00100098"/>
    <w:rsid w:val="001006D7"/>
    <w:rsid w:val="00102F92"/>
    <w:rsid w:val="00103EE0"/>
    <w:rsid w:val="001158E0"/>
    <w:rsid w:val="0014247B"/>
    <w:rsid w:val="00144155"/>
    <w:rsid w:val="00172145"/>
    <w:rsid w:val="001900AF"/>
    <w:rsid w:val="001A7338"/>
    <w:rsid w:val="001A7FE5"/>
    <w:rsid w:val="001E4C7A"/>
    <w:rsid w:val="001F6FFA"/>
    <w:rsid w:val="00201BA2"/>
    <w:rsid w:val="00203AD8"/>
    <w:rsid w:val="0022283B"/>
    <w:rsid w:val="00234F5A"/>
    <w:rsid w:val="00261940"/>
    <w:rsid w:val="00264C5D"/>
    <w:rsid w:val="00297E7B"/>
    <w:rsid w:val="002A3FEB"/>
    <w:rsid w:val="002C0B41"/>
    <w:rsid w:val="002D6105"/>
    <w:rsid w:val="002D6465"/>
    <w:rsid w:val="002F7DB2"/>
    <w:rsid w:val="00303A6A"/>
    <w:rsid w:val="003255A6"/>
    <w:rsid w:val="00330AA5"/>
    <w:rsid w:val="00352FF4"/>
    <w:rsid w:val="00375C54"/>
    <w:rsid w:val="003777F8"/>
    <w:rsid w:val="00377A5B"/>
    <w:rsid w:val="00384C4E"/>
    <w:rsid w:val="00386A9C"/>
    <w:rsid w:val="00392474"/>
    <w:rsid w:val="00396240"/>
    <w:rsid w:val="003B3C14"/>
    <w:rsid w:val="003D1799"/>
    <w:rsid w:val="003D365E"/>
    <w:rsid w:val="003F54E6"/>
    <w:rsid w:val="004018D0"/>
    <w:rsid w:val="00424A7F"/>
    <w:rsid w:val="00426F3D"/>
    <w:rsid w:val="00443968"/>
    <w:rsid w:val="0044480B"/>
    <w:rsid w:val="00454F3B"/>
    <w:rsid w:val="00482B59"/>
    <w:rsid w:val="00493228"/>
    <w:rsid w:val="004948E2"/>
    <w:rsid w:val="004A04C6"/>
    <w:rsid w:val="004A2262"/>
    <w:rsid w:val="004A45C2"/>
    <w:rsid w:val="004B5A4C"/>
    <w:rsid w:val="004C0FB0"/>
    <w:rsid w:val="004C1267"/>
    <w:rsid w:val="004C24C2"/>
    <w:rsid w:val="004C4AC7"/>
    <w:rsid w:val="004D7D21"/>
    <w:rsid w:val="004E5B92"/>
    <w:rsid w:val="004E73B0"/>
    <w:rsid w:val="0052390A"/>
    <w:rsid w:val="005564C0"/>
    <w:rsid w:val="005734C4"/>
    <w:rsid w:val="00577CDF"/>
    <w:rsid w:val="00582E87"/>
    <w:rsid w:val="005943C3"/>
    <w:rsid w:val="005B514D"/>
    <w:rsid w:val="005C17A5"/>
    <w:rsid w:val="005D329C"/>
    <w:rsid w:val="006027AC"/>
    <w:rsid w:val="006031F5"/>
    <w:rsid w:val="006062CC"/>
    <w:rsid w:val="0061753B"/>
    <w:rsid w:val="00625708"/>
    <w:rsid w:val="00634727"/>
    <w:rsid w:val="006370DF"/>
    <w:rsid w:val="0064751F"/>
    <w:rsid w:val="00657F23"/>
    <w:rsid w:val="006626B2"/>
    <w:rsid w:val="0066311B"/>
    <w:rsid w:val="00671716"/>
    <w:rsid w:val="00683BB7"/>
    <w:rsid w:val="006842EA"/>
    <w:rsid w:val="00685AFA"/>
    <w:rsid w:val="0069025F"/>
    <w:rsid w:val="00691D88"/>
    <w:rsid w:val="006A5C71"/>
    <w:rsid w:val="006B21F0"/>
    <w:rsid w:val="006C3F78"/>
    <w:rsid w:val="006D1C95"/>
    <w:rsid w:val="00713349"/>
    <w:rsid w:val="00714F7D"/>
    <w:rsid w:val="00717DF5"/>
    <w:rsid w:val="007305B2"/>
    <w:rsid w:val="0073552E"/>
    <w:rsid w:val="00747A42"/>
    <w:rsid w:val="007569CD"/>
    <w:rsid w:val="00764CBF"/>
    <w:rsid w:val="007B5026"/>
    <w:rsid w:val="007B50A9"/>
    <w:rsid w:val="007C1238"/>
    <w:rsid w:val="007D4E48"/>
    <w:rsid w:val="00801FE6"/>
    <w:rsid w:val="00805515"/>
    <w:rsid w:val="00832C13"/>
    <w:rsid w:val="0084441C"/>
    <w:rsid w:val="00852627"/>
    <w:rsid w:val="00857535"/>
    <w:rsid w:val="00860002"/>
    <w:rsid w:val="00864FD5"/>
    <w:rsid w:val="008652B7"/>
    <w:rsid w:val="00871389"/>
    <w:rsid w:val="0087505C"/>
    <w:rsid w:val="008861BC"/>
    <w:rsid w:val="00893959"/>
    <w:rsid w:val="008B0821"/>
    <w:rsid w:val="008B3A12"/>
    <w:rsid w:val="008B6E55"/>
    <w:rsid w:val="008C2FED"/>
    <w:rsid w:val="008D13CD"/>
    <w:rsid w:val="008D52BB"/>
    <w:rsid w:val="008E68AE"/>
    <w:rsid w:val="0091169C"/>
    <w:rsid w:val="00955DAF"/>
    <w:rsid w:val="00957FE8"/>
    <w:rsid w:val="009668A3"/>
    <w:rsid w:val="009711E1"/>
    <w:rsid w:val="00985AD0"/>
    <w:rsid w:val="009862B1"/>
    <w:rsid w:val="009A443E"/>
    <w:rsid w:val="009B41E6"/>
    <w:rsid w:val="009B6128"/>
    <w:rsid w:val="009C3636"/>
    <w:rsid w:val="009C3CD4"/>
    <w:rsid w:val="009C4C4B"/>
    <w:rsid w:val="009C7831"/>
    <w:rsid w:val="009D32CE"/>
    <w:rsid w:val="009F1DA5"/>
    <w:rsid w:val="009F60DF"/>
    <w:rsid w:val="009F717A"/>
    <w:rsid w:val="00A07FDC"/>
    <w:rsid w:val="00A10DC0"/>
    <w:rsid w:val="00A148DF"/>
    <w:rsid w:val="00A15E53"/>
    <w:rsid w:val="00A22B60"/>
    <w:rsid w:val="00A266E7"/>
    <w:rsid w:val="00A47637"/>
    <w:rsid w:val="00A5332A"/>
    <w:rsid w:val="00A55E28"/>
    <w:rsid w:val="00A57D27"/>
    <w:rsid w:val="00A65126"/>
    <w:rsid w:val="00A731A5"/>
    <w:rsid w:val="00A871B0"/>
    <w:rsid w:val="00A93231"/>
    <w:rsid w:val="00A94F42"/>
    <w:rsid w:val="00A95E67"/>
    <w:rsid w:val="00A967CA"/>
    <w:rsid w:val="00AA4539"/>
    <w:rsid w:val="00AC7A8E"/>
    <w:rsid w:val="00AD5E18"/>
    <w:rsid w:val="00AE271A"/>
    <w:rsid w:val="00AF3089"/>
    <w:rsid w:val="00B10984"/>
    <w:rsid w:val="00B11233"/>
    <w:rsid w:val="00B22309"/>
    <w:rsid w:val="00B65AF7"/>
    <w:rsid w:val="00B8638E"/>
    <w:rsid w:val="00B8718F"/>
    <w:rsid w:val="00B90B94"/>
    <w:rsid w:val="00B94A27"/>
    <w:rsid w:val="00BA46CF"/>
    <w:rsid w:val="00BB543A"/>
    <w:rsid w:val="00BB708A"/>
    <w:rsid w:val="00BE1FCF"/>
    <w:rsid w:val="00BF2398"/>
    <w:rsid w:val="00BF2F04"/>
    <w:rsid w:val="00BF393F"/>
    <w:rsid w:val="00C01DA8"/>
    <w:rsid w:val="00C14FCB"/>
    <w:rsid w:val="00C35DBD"/>
    <w:rsid w:val="00C43650"/>
    <w:rsid w:val="00C445A9"/>
    <w:rsid w:val="00C558D2"/>
    <w:rsid w:val="00C6568B"/>
    <w:rsid w:val="00C72391"/>
    <w:rsid w:val="00C8487C"/>
    <w:rsid w:val="00C95855"/>
    <w:rsid w:val="00CA5004"/>
    <w:rsid w:val="00CB1298"/>
    <w:rsid w:val="00CB281E"/>
    <w:rsid w:val="00CF4C2A"/>
    <w:rsid w:val="00CF6E1C"/>
    <w:rsid w:val="00CF7E8B"/>
    <w:rsid w:val="00D03980"/>
    <w:rsid w:val="00D07F95"/>
    <w:rsid w:val="00D174D2"/>
    <w:rsid w:val="00D25B29"/>
    <w:rsid w:val="00D31099"/>
    <w:rsid w:val="00D31CAD"/>
    <w:rsid w:val="00D40A2F"/>
    <w:rsid w:val="00D438AD"/>
    <w:rsid w:val="00D67B54"/>
    <w:rsid w:val="00D8004B"/>
    <w:rsid w:val="00D82865"/>
    <w:rsid w:val="00D87FE4"/>
    <w:rsid w:val="00D90EDC"/>
    <w:rsid w:val="00D955EC"/>
    <w:rsid w:val="00D96CED"/>
    <w:rsid w:val="00DA107B"/>
    <w:rsid w:val="00DD5E1B"/>
    <w:rsid w:val="00DF0767"/>
    <w:rsid w:val="00E243A3"/>
    <w:rsid w:val="00E32145"/>
    <w:rsid w:val="00E32B0E"/>
    <w:rsid w:val="00E42C70"/>
    <w:rsid w:val="00E45407"/>
    <w:rsid w:val="00E73C85"/>
    <w:rsid w:val="00EB57BC"/>
    <w:rsid w:val="00EE0A32"/>
    <w:rsid w:val="00EE2865"/>
    <w:rsid w:val="00EF21F7"/>
    <w:rsid w:val="00F24899"/>
    <w:rsid w:val="00F25837"/>
    <w:rsid w:val="00F42F88"/>
    <w:rsid w:val="00F6506E"/>
    <w:rsid w:val="00F84B9F"/>
    <w:rsid w:val="00FA4EF0"/>
    <w:rsid w:val="00FC4405"/>
    <w:rsid w:val="00FD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B80A81-A521-4FD1-912B-FCC66EE7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inorBidi"/>
        <w:color w:val="000000" w:themeColor="text1"/>
        <w:sz w:val="24"/>
        <w:szCs w:val="24"/>
        <w:lang w:val="en-US" w:eastAsia="en-US" w:bidi="ar-SA"/>
      </w:rPr>
    </w:rPrDefault>
    <w:pPrDefault>
      <w:pPr>
        <w:spacing w:after="160"/>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locked/>
    <w:rsid w:val="009F717A"/>
    <w:pPr>
      <w:ind w:left="720"/>
      <w:contextualSpacing/>
    </w:pPr>
  </w:style>
  <w:style w:type="paragraph" w:styleId="BalloonText">
    <w:name w:val="Balloon Text"/>
    <w:basedOn w:val="Normal"/>
    <w:link w:val="BalloonTextChar"/>
    <w:uiPriority w:val="99"/>
    <w:semiHidden/>
    <w:unhideWhenUsed/>
    <w:locked/>
    <w:rsid w:val="009F71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17A"/>
    <w:rPr>
      <w:rFonts w:ascii="Segoe UI" w:hAnsi="Segoe UI" w:cs="Segoe UI"/>
      <w:sz w:val="18"/>
      <w:szCs w:val="18"/>
    </w:rPr>
  </w:style>
  <w:style w:type="paragraph" w:styleId="BodyText">
    <w:name w:val="Body Text"/>
    <w:basedOn w:val="Normal"/>
    <w:link w:val="BodyTextChar"/>
    <w:uiPriority w:val="1"/>
    <w:qFormat/>
    <w:rsid w:val="009C4C4B"/>
    <w:pPr>
      <w:autoSpaceDE w:val="0"/>
      <w:autoSpaceDN w:val="0"/>
      <w:adjustRightInd w:val="0"/>
      <w:spacing w:after="0"/>
      <w:ind w:left="114"/>
    </w:pPr>
    <w:rPr>
      <w:rFonts w:cs="Calibri Light"/>
    </w:rPr>
  </w:style>
  <w:style w:type="character" w:customStyle="1" w:styleId="BodyTextChar">
    <w:name w:val="Body Text Char"/>
    <w:basedOn w:val="DefaultParagraphFont"/>
    <w:link w:val="BodyText"/>
    <w:uiPriority w:val="1"/>
    <w:rsid w:val="009C4C4B"/>
    <w:rPr>
      <w:rFonts w:ascii="Calibri Light" w:hAnsi="Calibri Light" w:cs="Calibri Light"/>
      <w:sz w:val="24"/>
      <w:szCs w:val="24"/>
    </w:rPr>
  </w:style>
  <w:style w:type="paragraph" w:styleId="Header">
    <w:name w:val="header"/>
    <w:basedOn w:val="Normal"/>
    <w:link w:val="HeaderChar"/>
    <w:uiPriority w:val="99"/>
    <w:unhideWhenUsed/>
    <w:locked/>
    <w:rsid w:val="001E4C7A"/>
    <w:pPr>
      <w:tabs>
        <w:tab w:val="center" w:pos="4680"/>
        <w:tab w:val="right" w:pos="9360"/>
      </w:tabs>
      <w:spacing w:after="0"/>
    </w:pPr>
  </w:style>
  <w:style w:type="character" w:customStyle="1" w:styleId="HeaderChar">
    <w:name w:val="Header Char"/>
    <w:basedOn w:val="DefaultParagraphFont"/>
    <w:link w:val="Header"/>
    <w:uiPriority w:val="99"/>
    <w:rsid w:val="001E4C7A"/>
  </w:style>
  <w:style w:type="paragraph" w:styleId="Footer">
    <w:name w:val="footer"/>
    <w:basedOn w:val="Normal"/>
    <w:link w:val="FooterChar"/>
    <w:uiPriority w:val="99"/>
    <w:unhideWhenUsed/>
    <w:locked/>
    <w:rsid w:val="001E4C7A"/>
    <w:pPr>
      <w:tabs>
        <w:tab w:val="center" w:pos="4680"/>
        <w:tab w:val="right" w:pos="9360"/>
      </w:tabs>
      <w:spacing w:after="0"/>
    </w:pPr>
  </w:style>
  <w:style w:type="character" w:customStyle="1" w:styleId="FooterChar">
    <w:name w:val="Footer Char"/>
    <w:basedOn w:val="DefaultParagraphFont"/>
    <w:link w:val="Footer"/>
    <w:uiPriority w:val="99"/>
    <w:rsid w:val="001E4C7A"/>
  </w:style>
  <w:style w:type="paragraph" w:styleId="NoSpacing">
    <w:name w:val="No Spacing"/>
    <w:uiPriority w:val="1"/>
    <w:qFormat/>
    <w:locked/>
    <w:rsid w:val="00D174D2"/>
    <w:pPr>
      <w:spacing w:after="0"/>
    </w:pPr>
  </w:style>
  <w:style w:type="character" w:styleId="Hyperlink">
    <w:name w:val="Hyperlink"/>
    <w:basedOn w:val="DefaultParagraphFont"/>
    <w:uiPriority w:val="99"/>
    <w:unhideWhenUsed/>
    <w:locked/>
    <w:rsid w:val="00A57D27"/>
    <w:rPr>
      <w:color w:val="0563C1" w:themeColor="hyperlink"/>
      <w:u w:val="single"/>
    </w:rPr>
  </w:style>
  <w:style w:type="character" w:styleId="UnresolvedMention">
    <w:name w:val="Unresolved Mention"/>
    <w:basedOn w:val="DefaultParagraphFont"/>
    <w:uiPriority w:val="99"/>
    <w:semiHidden/>
    <w:unhideWhenUsed/>
    <w:locked/>
    <w:rsid w:val="00A57D27"/>
    <w:rPr>
      <w:color w:val="808080"/>
      <w:shd w:val="clear" w:color="auto" w:fill="E6E6E6"/>
    </w:rPr>
  </w:style>
  <w:style w:type="table" w:styleId="TableGrid">
    <w:name w:val="Table Grid"/>
    <w:basedOn w:val="TableNormal"/>
    <w:uiPriority w:val="39"/>
    <w:locked/>
    <w:rsid w:val="00F650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68B"/>
    <w:pPr>
      <w:autoSpaceDE w:val="0"/>
      <w:autoSpaceDN w:val="0"/>
      <w:adjustRightInd w:val="0"/>
      <w:spacing w:after="0"/>
    </w:pPr>
    <w:rPr>
      <w:rFonts w:ascii="Times New Roman" w:eastAsiaTheme="minorEastAsia" w:hAnsi="Times New Roman" w:cs="Times New Roman"/>
      <w:color w:val="000000"/>
      <w:lang w:eastAsia="ja-JP"/>
    </w:rPr>
  </w:style>
  <w:style w:type="paragraph" w:styleId="Revision">
    <w:name w:val="Revision"/>
    <w:hidden/>
    <w:uiPriority w:val="99"/>
    <w:semiHidden/>
    <w:rsid w:val="00A266E7"/>
    <w:pPr>
      <w:spacing w:after="0"/>
    </w:pPr>
  </w:style>
  <w:style w:type="character" w:styleId="CommentReference">
    <w:name w:val="annotation reference"/>
    <w:basedOn w:val="DefaultParagraphFont"/>
    <w:uiPriority w:val="99"/>
    <w:semiHidden/>
    <w:unhideWhenUsed/>
    <w:locked/>
    <w:rsid w:val="005564C0"/>
    <w:rPr>
      <w:sz w:val="16"/>
      <w:szCs w:val="16"/>
    </w:rPr>
  </w:style>
  <w:style w:type="paragraph" w:styleId="CommentText">
    <w:name w:val="annotation text"/>
    <w:basedOn w:val="Normal"/>
    <w:link w:val="CommentTextChar"/>
    <w:uiPriority w:val="99"/>
    <w:semiHidden/>
    <w:unhideWhenUsed/>
    <w:locked/>
    <w:rsid w:val="005564C0"/>
    <w:rPr>
      <w:sz w:val="20"/>
      <w:szCs w:val="20"/>
    </w:rPr>
  </w:style>
  <w:style w:type="character" w:customStyle="1" w:styleId="CommentTextChar">
    <w:name w:val="Comment Text Char"/>
    <w:basedOn w:val="DefaultParagraphFont"/>
    <w:link w:val="CommentText"/>
    <w:uiPriority w:val="99"/>
    <w:semiHidden/>
    <w:rsid w:val="005564C0"/>
    <w:rPr>
      <w:sz w:val="20"/>
      <w:szCs w:val="20"/>
    </w:rPr>
  </w:style>
  <w:style w:type="paragraph" w:styleId="CommentSubject">
    <w:name w:val="annotation subject"/>
    <w:basedOn w:val="CommentText"/>
    <w:next w:val="CommentText"/>
    <w:link w:val="CommentSubjectChar"/>
    <w:uiPriority w:val="99"/>
    <w:semiHidden/>
    <w:unhideWhenUsed/>
    <w:locked/>
    <w:rsid w:val="005564C0"/>
    <w:rPr>
      <w:b/>
      <w:bCs/>
    </w:rPr>
  </w:style>
  <w:style w:type="character" w:customStyle="1" w:styleId="CommentSubjectChar">
    <w:name w:val="Comment Subject Char"/>
    <w:basedOn w:val="CommentTextChar"/>
    <w:link w:val="CommentSubject"/>
    <w:uiPriority w:val="99"/>
    <w:semiHidden/>
    <w:rsid w:val="005564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434392">
      <w:bodyDiv w:val="1"/>
      <w:marLeft w:val="0"/>
      <w:marRight w:val="0"/>
      <w:marTop w:val="0"/>
      <w:marBottom w:val="0"/>
      <w:divBdr>
        <w:top w:val="none" w:sz="0" w:space="0" w:color="auto"/>
        <w:left w:val="none" w:sz="0" w:space="0" w:color="auto"/>
        <w:bottom w:val="none" w:sz="0" w:space="0" w:color="auto"/>
        <w:right w:val="none" w:sz="0" w:space="0" w:color="auto"/>
      </w:divBdr>
    </w:div>
    <w:div w:id="1373923316">
      <w:bodyDiv w:val="1"/>
      <w:marLeft w:val="0"/>
      <w:marRight w:val="0"/>
      <w:marTop w:val="0"/>
      <w:marBottom w:val="0"/>
      <w:divBdr>
        <w:top w:val="none" w:sz="0" w:space="0" w:color="auto"/>
        <w:left w:val="none" w:sz="0" w:space="0" w:color="auto"/>
        <w:bottom w:val="none" w:sz="0" w:space="0" w:color="auto"/>
        <w:right w:val="none" w:sz="0" w:space="0" w:color="auto"/>
      </w:divBdr>
    </w:div>
    <w:div w:id="15793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jcc.georgi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29632-2955-4B0E-AF7E-D1C8B219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Campbell</dc:creator>
  <cp:keywords/>
  <dc:description/>
  <cp:lastModifiedBy>Ursula Kelley</cp:lastModifiedBy>
  <cp:revision>2</cp:revision>
  <cp:lastPrinted>2018-02-06T15:52:00Z</cp:lastPrinted>
  <dcterms:created xsi:type="dcterms:W3CDTF">2019-02-15T16:53:00Z</dcterms:created>
  <dcterms:modified xsi:type="dcterms:W3CDTF">2019-02-15T16:53:00Z</dcterms:modified>
</cp:coreProperties>
</file>